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F2" w:rsidRPr="001C7A65" w:rsidRDefault="00987CF2" w:rsidP="00987CF2">
      <w:pPr>
        <w:pStyle w:val="Heading1"/>
        <w:rPr>
          <w:color w:val="000000" w:themeColor="text1"/>
        </w:rPr>
      </w:pPr>
      <w:r w:rsidRPr="001C7A65">
        <w:rPr>
          <w:color w:val="000000" w:themeColor="text1"/>
        </w:rPr>
        <w:t xml:space="preserve">CDGG Highlight Report – </w:t>
      </w:r>
      <w:r w:rsidR="00384E94">
        <w:rPr>
          <w:color w:val="000000" w:themeColor="text1"/>
        </w:rPr>
        <w:t>1</w:t>
      </w:r>
      <w:r w:rsidR="007619DA" w:rsidRPr="007619DA">
        <w:rPr>
          <w:color w:val="000000" w:themeColor="text1"/>
          <w:vertAlign w:val="superscript"/>
        </w:rPr>
        <w:t>st</w:t>
      </w:r>
      <w:r w:rsidR="007619DA">
        <w:rPr>
          <w:color w:val="000000" w:themeColor="text1"/>
        </w:rPr>
        <w:t xml:space="preserve"> </w:t>
      </w:r>
      <w:r w:rsidRPr="001C7A65">
        <w:rPr>
          <w:color w:val="000000" w:themeColor="text1"/>
        </w:rPr>
        <w:t>Quarter 201</w:t>
      </w:r>
      <w:r w:rsidR="00384E94">
        <w:rPr>
          <w:color w:val="000000" w:themeColor="text1"/>
        </w:rPr>
        <w:t>4</w:t>
      </w:r>
    </w:p>
    <w:p w:rsidR="00A91305" w:rsidRDefault="00A91305" w:rsidP="00CC5141">
      <w:pPr>
        <w:pStyle w:val="Heading2"/>
        <w:tabs>
          <w:tab w:val="left" w:pos="5595"/>
        </w:tabs>
        <w:rPr>
          <w:color w:val="000000" w:themeColor="text1"/>
        </w:rPr>
      </w:pPr>
    </w:p>
    <w:p w:rsidR="00987CF2" w:rsidRDefault="00987CF2" w:rsidP="00987CF2">
      <w:pPr>
        <w:pStyle w:val="Heading2"/>
        <w:rPr>
          <w:color w:val="000000" w:themeColor="text1"/>
        </w:rPr>
      </w:pPr>
      <w:r w:rsidRPr="001C7A65">
        <w:rPr>
          <w:color w:val="000000" w:themeColor="text1"/>
        </w:rPr>
        <w:t>1</w:t>
      </w:r>
      <w:r w:rsidR="009F04F7" w:rsidRPr="001C7A65">
        <w:rPr>
          <w:color w:val="000000" w:themeColor="text1"/>
        </w:rPr>
        <w:t>.)</w:t>
      </w:r>
      <w:r w:rsidRPr="001C7A65">
        <w:rPr>
          <w:color w:val="000000" w:themeColor="text1"/>
        </w:rPr>
        <w:tab/>
        <w:t xml:space="preserve">Overall Project status   </w:t>
      </w:r>
      <w:r w:rsidRPr="001C7A65">
        <w:rPr>
          <w:noProof/>
          <w:color w:val="000000" w:themeColor="text1"/>
          <w:lang w:val="en-ZA" w:eastAsia="en-ZA"/>
        </w:rPr>
        <w:drawing>
          <wp:inline distT="0" distB="0" distL="0" distR="0" wp14:anchorId="61AF016C" wp14:editId="11D67330">
            <wp:extent cx="295275" cy="285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A31F01" w:rsidRPr="00A31F01" w:rsidRDefault="00A31F01" w:rsidP="00A31F01"/>
    <w:p w:rsidR="00987CF2" w:rsidRPr="00D06FEF" w:rsidRDefault="00987CF2" w:rsidP="00D06FEF">
      <w:pPr>
        <w:rPr>
          <w:rFonts w:cs="Arial"/>
          <w:color w:val="000000" w:themeColor="text1"/>
          <w:szCs w:val="24"/>
        </w:rPr>
      </w:pPr>
      <w:r w:rsidRPr="001C7A65">
        <w:rPr>
          <w:color w:val="000000" w:themeColor="text1"/>
          <w:szCs w:val="24"/>
        </w:rPr>
        <w:t>Consolidation of Democracy and Good Governance in Lesotho (CDGG) is a four-year programme jointly funded by Irish Aid and the United Nations Development Programme (UNDP). It aims to deepen democracy and good governance through improved electoral processes, effective functioning of parliament and enhanced promotion of human rights. To achieve its primary goals and objectives, the CDGG has identified, albeit not limited to, the following key institutions as enabling partners: The Independent Electoral Commission (IEC), National Assembly, the Senate, Ministry of Justice, Human Rights and the Correctional Service</w:t>
      </w:r>
      <w:r w:rsidR="00D06FEF">
        <w:rPr>
          <w:color w:val="000000" w:themeColor="text1"/>
          <w:szCs w:val="24"/>
        </w:rPr>
        <w:t xml:space="preserve"> (now </w:t>
      </w:r>
      <w:r w:rsidR="00D06FEF" w:rsidRPr="00D44553">
        <w:rPr>
          <w:rFonts w:cs="Arial"/>
          <w:color w:val="000000" w:themeColor="text1"/>
          <w:szCs w:val="24"/>
        </w:rPr>
        <w:t>Ministry of Law, Constitutional Affairs and Human Rights</w:t>
      </w:r>
      <w:r w:rsidR="00D06FEF">
        <w:rPr>
          <w:rFonts w:cs="Arial"/>
          <w:color w:val="000000" w:themeColor="text1"/>
          <w:szCs w:val="24"/>
        </w:rPr>
        <w:t>)</w:t>
      </w:r>
      <w:r w:rsidR="00D06FEF" w:rsidRPr="00D44553">
        <w:rPr>
          <w:rFonts w:cs="Arial"/>
          <w:color w:val="000000" w:themeColor="text1"/>
          <w:szCs w:val="24"/>
        </w:rPr>
        <w:t xml:space="preserve"> </w:t>
      </w:r>
      <w:r w:rsidRPr="001C7A65">
        <w:rPr>
          <w:color w:val="000000" w:themeColor="text1"/>
          <w:szCs w:val="24"/>
        </w:rPr>
        <w:t>and the Office of the Ombudsman.</w:t>
      </w:r>
    </w:p>
    <w:p w:rsidR="00987CF2" w:rsidRDefault="00987CF2" w:rsidP="00987CF2">
      <w:pPr>
        <w:pStyle w:val="ListParagraph"/>
        <w:spacing w:line="276" w:lineRule="auto"/>
        <w:jc w:val="both"/>
        <w:rPr>
          <w:color w:val="000000" w:themeColor="text1"/>
          <w:szCs w:val="24"/>
        </w:rPr>
      </w:pPr>
    </w:p>
    <w:p w:rsidR="00CC5141" w:rsidRPr="001C7A65" w:rsidRDefault="00CC5141" w:rsidP="00987CF2">
      <w:pPr>
        <w:pStyle w:val="ListParagraph"/>
        <w:spacing w:line="276" w:lineRule="auto"/>
        <w:jc w:val="both"/>
        <w:rPr>
          <w:color w:val="000000" w:themeColor="text1"/>
          <w:szCs w:val="24"/>
        </w:rPr>
      </w:pPr>
    </w:p>
    <w:p w:rsidR="00987CF2" w:rsidRPr="001C7A65" w:rsidRDefault="004A3A7B" w:rsidP="00987CF2">
      <w:pPr>
        <w:pStyle w:val="BodyText2"/>
        <w:numPr>
          <w:ilvl w:val="0"/>
          <w:numId w:val="1"/>
        </w:numPr>
        <w:spacing w:line="276" w:lineRule="auto"/>
        <w:rPr>
          <w:b/>
          <w:color w:val="000000" w:themeColor="text1"/>
          <w:sz w:val="28"/>
          <w:szCs w:val="28"/>
        </w:rPr>
      </w:pPr>
      <w:r w:rsidRPr="001C7A65">
        <w:rPr>
          <w:b/>
          <w:color w:val="000000" w:themeColor="text1"/>
          <w:sz w:val="28"/>
          <w:szCs w:val="28"/>
        </w:rPr>
        <w:t>2013</w:t>
      </w:r>
      <w:r w:rsidR="00987CF2" w:rsidRPr="001C7A65">
        <w:rPr>
          <w:b/>
          <w:color w:val="000000" w:themeColor="text1"/>
          <w:sz w:val="28"/>
          <w:szCs w:val="28"/>
        </w:rPr>
        <w:t xml:space="preserve"> Targets </w:t>
      </w:r>
    </w:p>
    <w:p w:rsidR="00987CF2" w:rsidRPr="001C7A65" w:rsidRDefault="00987CF2" w:rsidP="00987CF2">
      <w:pPr>
        <w:pStyle w:val="ListParagraph"/>
        <w:spacing w:line="276" w:lineRule="auto"/>
        <w:rPr>
          <w:rFonts w:cs="Arial"/>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(1) Electoral reforms to ensure that elections add value to democratic governance and political stability.</w:t>
      </w:r>
    </w:p>
    <w:p w:rsidR="00987CF2" w:rsidRPr="001C7A65" w:rsidRDefault="00987CF2" w:rsidP="00987CF2">
      <w:pPr>
        <w:pStyle w:val="ListParagraph"/>
        <w:spacing w:line="276" w:lineRule="auto"/>
        <w:ind w:left="1080"/>
        <w:jc w:val="both"/>
        <w:rPr>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 xml:space="preserve"> (2) Parliamentary reforms to improve the effectiveness of the legislature in its three-pronged mandate of law-making, representation and oversight.</w:t>
      </w:r>
    </w:p>
    <w:p w:rsidR="00987CF2" w:rsidRPr="001C7A65" w:rsidRDefault="00987CF2" w:rsidP="00987CF2">
      <w:pPr>
        <w:pStyle w:val="ListParagraph"/>
        <w:spacing w:line="276" w:lineRule="auto"/>
        <w:rPr>
          <w:color w:val="000000" w:themeColor="text1"/>
          <w:szCs w:val="24"/>
        </w:rPr>
      </w:pPr>
    </w:p>
    <w:p w:rsidR="00987CF2" w:rsidRPr="001C7A65" w:rsidRDefault="00987CF2" w:rsidP="00987CF2">
      <w:pPr>
        <w:pStyle w:val="ListParagraph"/>
        <w:numPr>
          <w:ilvl w:val="0"/>
          <w:numId w:val="2"/>
        </w:numPr>
        <w:spacing w:line="276" w:lineRule="auto"/>
        <w:jc w:val="both"/>
        <w:rPr>
          <w:rFonts w:cs="Arial"/>
          <w:color w:val="000000" w:themeColor="text1"/>
          <w:szCs w:val="24"/>
        </w:rPr>
      </w:pPr>
      <w:r w:rsidRPr="001C7A65">
        <w:rPr>
          <w:color w:val="000000" w:themeColor="text1"/>
          <w:szCs w:val="24"/>
        </w:rPr>
        <w:t xml:space="preserve"> (3) The promotion and protection of human rights in accordance with the principles of the Universal Declaration of Human Rights. </w:t>
      </w:r>
    </w:p>
    <w:p w:rsidR="00987CF2" w:rsidRDefault="00987CF2" w:rsidP="00987CF2">
      <w:pPr>
        <w:spacing w:line="276" w:lineRule="auto"/>
        <w:ind w:left="720"/>
        <w:jc w:val="both"/>
        <w:rPr>
          <w:rFonts w:cs="Arial"/>
          <w:color w:val="000000" w:themeColor="text1"/>
          <w:szCs w:val="24"/>
        </w:rPr>
      </w:pPr>
    </w:p>
    <w:p w:rsidR="00694F10" w:rsidRPr="001C7A65" w:rsidRDefault="00694F10" w:rsidP="00987CF2">
      <w:pPr>
        <w:spacing w:line="276" w:lineRule="auto"/>
        <w:ind w:left="720"/>
        <w:jc w:val="both"/>
        <w:rPr>
          <w:rFonts w:cs="Arial"/>
          <w:color w:val="000000" w:themeColor="text1"/>
          <w:szCs w:val="24"/>
        </w:rPr>
      </w:pPr>
    </w:p>
    <w:p w:rsidR="00987CF2" w:rsidRPr="001C7A65" w:rsidRDefault="00987CF2" w:rsidP="00987CF2">
      <w:pPr>
        <w:spacing w:line="276" w:lineRule="auto"/>
        <w:rPr>
          <w:rFonts w:cs="Arial"/>
          <w:color w:val="000000" w:themeColor="text1"/>
          <w:szCs w:val="24"/>
        </w:rPr>
      </w:pPr>
    </w:p>
    <w:p w:rsidR="001A36C3" w:rsidRDefault="00987CF2" w:rsidP="00987CF2">
      <w:pPr>
        <w:spacing w:line="276" w:lineRule="auto"/>
        <w:rPr>
          <w:rFonts w:cs="Arial"/>
          <w:b/>
          <w:color w:val="000000" w:themeColor="text1"/>
          <w:szCs w:val="24"/>
          <w:u w:val="single"/>
        </w:rPr>
      </w:pPr>
      <w:r w:rsidRPr="001C7A65">
        <w:rPr>
          <w:rFonts w:cs="Arial"/>
          <w:color w:val="000000" w:themeColor="text1"/>
          <w:szCs w:val="24"/>
        </w:rPr>
        <w:t xml:space="preserve"> </w:t>
      </w:r>
      <w:r w:rsidRPr="001C7A65">
        <w:rPr>
          <w:rFonts w:cs="Arial"/>
          <w:b/>
          <w:color w:val="000000" w:themeColor="text1"/>
          <w:szCs w:val="24"/>
          <w:u w:val="single"/>
        </w:rPr>
        <w:t>Programme Management</w:t>
      </w:r>
    </w:p>
    <w:p w:rsidR="009D6D4E" w:rsidRDefault="009D6D4E" w:rsidP="00987CF2">
      <w:pPr>
        <w:spacing w:line="276" w:lineRule="auto"/>
        <w:rPr>
          <w:rFonts w:cs="Arial"/>
          <w:b/>
          <w:color w:val="000000" w:themeColor="text1"/>
          <w:szCs w:val="24"/>
          <w:u w:val="single"/>
        </w:rPr>
      </w:pPr>
    </w:p>
    <w:p w:rsidR="009D6D4E" w:rsidRDefault="009D6D4E" w:rsidP="009D6D4E">
      <w:pPr>
        <w:pStyle w:val="ListParagraph"/>
        <w:numPr>
          <w:ilvl w:val="0"/>
          <w:numId w:val="24"/>
        </w:numPr>
        <w:overflowPunct/>
        <w:autoSpaceDE/>
        <w:autoSpaceDN/>
        <w:adjustRightInd/>
        <w:ind w:left="360"/>
        <w:textAlignment w:val="auto"/>
        <w:rPr>
          <w:color w:val="000000" w:themeColor="text1"/>
        </w:rPr>
      </w:pPr>
      <w:r>
        <w:rPr>
          <w:color w:val="000000" w:themeColor="text1"/>
        </w:rPr>
        <w:t>In November 2013, with the exception of the National Assembly, four of the CDGG partners requested the remaining activities to be postponed to 1</w:t>
      </w:r>
      <w:r w:rsidRPr="009D6D4E">
        <w:rPr>
          <w:color w:val="000000" w:themeColor="text1"/>
          <w:vertAlign w:val="superscript"/>
        </w:rPr>
        <w:t>st</w:t>
      </w:r>
      <w:r>
        <w:rPr>
          <w:color w:val="000000" w:themeColor="text1"/>
        </w:rPr>
        <w:t xml:space="preserve"> quarter 2014 due to various reasons including </w:t>
      </w:r>
      <w:r w:rsidRPr="009D6D4E">
        <w:rPr>
          <w:color w:val="000000" w:themeColor="text1"/>
        </w:rPr>
        <w:t>preparations of submissions for the 2014/2015 financial year</w:t>
      </w:r>
      <w:r>
        <w:rPr>
          <w:color w:val="000000" w:themeColor="text1"/>
        </w:rPr>
        <w:t xml:space="preserve"> and the fact that Parliament closed early for Christmas vacation and the IEC had a temporary commission which could not </w:t>
      </w:r>
      <w:r w:rsidR="005E025D">
        <w:rPr>
          <w:color w:val="000000" w:themeColor="text1"/>
        </w:rPr>
        <w:t>m</w:t>
      </w:r>
      <w:r>
        <w:rPr>
          <w:color w:val="000000" w:themeColor="text1"/>
        </w:rPr>
        <w:t>ake certain decisions.</w:t>
      </w:r>
    </w:p>
    <w:p w:rsidR="009D6D4E" w:rsidRDefault="009D6D4E" w:rsidP="00987CF2">
      <w:pPr>
        <w:spacing w:line="276" w:lineRule="auto"/>
        <w:rPr>
          <w:rFonts w:cs="Arial"/>
          <w:b/>
          <w:color w:val="000000" w:themeColor="text1"/>
          <w:szCs w:val="24"/>
          <w:u w:val="single"/>
        </w:rPr>
      </w:pPr>
    </w:p>
    <w:p w:rsidR="007D3EFD" w:rsidRPr="007619DA" w:rsidRDefault="009D6D4E" w:rsidP="0085493E">
      <w:pPr>
        <w:framePr w:hSpace="180" w:wrap="around" w:vAnchor="text" w:hAnchor="page" w:x="1531" w:y="-1002"/>
        <w:overflowPunct/>
        <w:autoSpaceDE/>
        <w:autoSpaceDN/>
        <w:adjustRightInd/>
        <w:suppressOverlap/>
        <w:textAlignment w:val="auto"/>
        <w:rPr>
          <w:color w:val="000000" w:themeColor="text1"/>
        </w:rPr>
      </w:pPr>
      <w:r w:rsidRPr="007619DA">
        <w:rPr>
          <w:color w:val="000000" w:themeColor="text1"/>
        </w:rPr>
        <w:t>The initial plan was to complete all the activities by end of March 2014 and thereafter conduct an evaluation and wrap up the project. However, due to delays caused by budget presentations by various Government Ministries, institutions and statutory bodies to the Ministry of Finance and to the National Assembly, the anticipated activities were not carried out as planned. The budget process affected programme delivery due to the fact that Principal Secretaries, Clerks of Parliament and other heads of institutions including their implementing officers were not available. In addition, following the presentation of the Budget Speech by the Minister of Finance on February 20</w:t>
      </w:r>
      <w:r w:rsidRPr="007619DA">
        <w:rPr>
          <w:color w:val="000000" w:themeColor="text1"/>
          <w:vertAlign w:val="superscript"/>
        </w:rPr>
        <w:t>th</w:t>
      </w:r>
      <w:r w:rsidRPr="007619DA">
        <w:rPr>
          <w:color w:val="000000" w:themeColor="text1"/>
        </w:rPr>
        <w:t>, budget discussions continued until the National Assembly passed the Appropriations Bill 2014/2015 on March 24</w:t>
      </w:r>
      <w:r w:rsidRPr="007619DA">
        <w:rPr>
          <w:color w:val="000000" w:themeColor="text1"/>
          <w:vertAlign w:val="superscript"/>
        </w:rPr>
        <w:t>th</w:t>
      </w:r>
      <w:r w:rsidRPr="007619DA">
        <w:rPr>
          <w:color w:val="000000" w:themeColor="text1"/>
        </w:rPr>
        <w:t>, 2013. This caused delays in programme implementation and hence the request by CDGG IPs to conclude all activities and present end of projects reports by June 30</w:t>
      </w:r>
      <w:r w:rsidRPr="007619DA">
        <w:rPr>
          <w:color w:val="000000" w:themeColor="text1"/>
          <w:vertAlign w:val="superscript"/>
        </w:rPr>
        <w:t>th</w:t>
      </w:r>
      <w:r w:rsidRPr="007619DA">
        <w:rPr>
          <w:color w:val="000000" w:themeColor="text1"/>
        </w:rPr>
        <w:t>, 2014.</w:t>
      </w:r>
    </w:p>
    <w:p w:rsidR="00987CF2" w:rsidRDefault="00987CF2"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987CF2" w:rsidRDefault="009F04F7" w:rsidP="00987CF2">
      <w:pPr>
        <w:pStyle w:val="BodyText2"/>
        <w:rPr>
          <w:rFonts w:cs="Arial"/>
          <w:b/>
          <w:color w:val="000000" w:themeColor="text1"/>
          <w:sz w:val="28"/>
          <w:szCs w:val="28"/>
        </w:rPr>
      </w:pPr>
      <w:r w:rsidRPr="001C7A65">
        <w:rPr>
          <w:rFonts w:cs="Arial"/>
          <w:b/>
          <w:color w:val="000000" w:themeColor="text1"/>
          <w:sz w:val="28"/>
          <w:szCs w:val="28"/>
        </w:rPr>
        <w:t xml:space="preserve">2.) </w:t>
      </w:r>
      <w:r w:rsidR="00987CF2" w:rsidRPr="001C7A65">
        <w:rPr>
          <w:rFonts w:cs="Arial"/>
          <w:b/>
          <w:color w:val="000000" w:themeColor="text1"/>
          <w:sz w:val="28"/>
          <w:szCs w:val="28"/>
        </w:rPr>
        <w:t xml:space="preserve">Quarter </w:t>
      </w:r>
      <w:r w:rsidR="009D6D4E">
        <w:rPr>
          <w:rFonts w:cs="Arial"/>
          <w:b/>
          <w:color w:val="000000" w:themeColor="text1"/>
          <w:sz w:val="28"/>
          <w:szCs w:val="28"/>
        </w:rPr>
        <w:t>1reports</w:t>
      </w:r>
    </w:p>
    <w:p w:rsidR="007D2C21" w:rsidRDefault="007D2C21" w:rsidP="00987CF2">
      <w:pPr>
        <w:rPr>
          <w:rFonts w:cs="Arial"/>
          <w:b/>
          <w:color w:val="000000" w:themeColor="text1"/>
          <w:szCs w:val="24"/>
          <w:u w:val="single"/>
        </w:rPr>
      </w:pPr>
    </w:p>
    <w:p w:rsidR="00987CF2" w:rsidRPr="001C7A65" w:rsidRDefault="00987CF2" w:rsidP="00987CF2">
      <w:pPr>
        <w:rPr>
          <w:rFonts w:cs="Arial"/>
          <w:b/>
          <w:color w:val="000000" w:themeColor="text1"/>
          <w:szCs w:val="24"/>
          <w:u w:val="single"/>
        </w:rPr>
      </w:pPr>
      <w:r w:rsidRPr="001C7A65">
        <w:rPr>
          <w:rFonts w:cs="Arial"/>
          <w:b/>
          <w:color w:val="000000" w:themeColor="text1"/>
          <w:szCs w:val="24"/>
          <w:u w:val="single"/>
        </w:rPr>
        <w:t>Ombudsman’s office</w:t>
      </w:r>
    </w:p>
    <w:p w:rsidR="00987CF2" w:rsidRDefault="00987CF2" w:rsidP="00987CF2">
      <w:pPr>
        <w:rPr>
          <w:rFonts w:cs="Arial"/>
          <w:b/>
          <w:color w:val="000000" w:themeColor="text1"/>
          <w:szCs w:val="24"/>
          <w:u w:val="single"/>
        </w:rPr>
      </w:pPr>
    </w:p>
    <w:p w:rsidR="003F4A84" w:rsidRPr="0081449F" w:rsidRDefault="00EF1F2A" w:rsidP="0081449F">
      <w:pPr>
        <w:pStyle w:val="ListParagraph"/>
        <w:numPr>
          <w:ilvl w:val="0"/>
          <w:numId w:val="24"/>
        </w:numPr>
        <w:rPr>
          <w:szCs w:val="24"/>
        </w:rPr>
      </w:pPr>
      <w:r w:rsidRPr="0081449F">
        <w:rPr>
          <w:szCs w:val="24"/>
        </w:rPr>
        <w:t>Developed TOR‘s for the consultant who will develop the Monitoring and Evaluation system for the office</w:t>
      </w:r>
    </w:p>
    <w:p w:rsidR="0085493E" w:rsidRDefault="0085493E" w:rsidP="00F713CB">
      <w:pPr>
        <w:rPr>
          <w:szCs w:val="24"/>
        </w:rPr>
      </w:pPr>
    </w:p>
    <w:p w:rsidR="0085493E" w:rsidRPr="0081449F" w:rsidRDefault="0085493E" w:rsidP="0081449F">
      <w:pPr>
        <w:pStyle w:val="ListParagraph"/>
        <w:numPr>
          <w:ilvl w:val="0"/>
          <w:numId w:val="24"/>
        </w:numPr>
        <w:rPr>
          <w:b/>
          <w:bCs/>
          <w:color w:val="000000" w:themeColor="text1"/>
          <w:u w:val="single"/>
        </w:rPr>
      </w:pPr>
      <w:r w:rsidRPr="0081449F">
        <w:rPr>
          <w:szCs w:val="24"/>
        </w:rPr>
        <w:t>Prepared materials for the sensitization workshop for Principal Secretaries and CEOs of Parastatal organizations. Awaiting the Government Secretary’s authority for convening of the workshop</w:t>
      </w:r>
    </w:p>
    <w:p w:rsidR="00EF1F2A" w:rsidRDefault="00EF1F2A" w:rsidP="00F713CB">
      <w:pPr>
        <w:rPr>
          <w:b/>
          <w:bCs/>
          <w:color w:val="000000" w:themeColor="text1"/>
          <w:u w:val="single"/>
        </w:rPr>
      </w:pPr>
    </w:p>
    <w:p w:rsidR="00F713CB" w:rsidRPr="001C7A65" w:rsidRDefault="00F713CB" w:rsidP="00F713CB">
      <w:pPr>
        <w:rPr>
          <w:b/>
          <w:bCs/>
          <w:color w:val="000000" w:themeColor="text1"/>
          <w:u w:val="single"/>
        </w:rPr>
      </w:pPr>
      <w:r w:rsidRPr="001C7A65">
        <w:rPr>
          <w:b/>
          <w:bCs/>
          <w:color w:val="000000" w:themeColor="text1"/>
          <w:u w:val="single"/>
        </w:rPr>
        <w:t>Independent Electoral Commission (IEC)</w:t>
      </w:r>
      <w:r w:rsidR="007335B6" w:rsidRPr="007335B6">
        <w:rPr>
          <w:rFonts w:cs="Arial"/>
          <w:noProof/>
          <w:color w:val="000000" w:themeColor="text1"/>
          <w:sz w:val="20"/>
          <w:lang w:val="en-US"/>
        </w:rPr>
        <w:t xml:space="preserve"> </w:t>
      </w:r>
    </w:p>
    <w:p w:rsidR="00F713CB" w:rsidRPr="001C7A65" w:rsidRDefault="00F713CB" w:rsidP="00F713CB">
      <w:pPr>
        <w:rPr>
          <w:b/>
          <w:bCs/>
          <w:color w:val="000000" w:themeColor="text1"/>
          <w:u w:val="single"/>
        </w:rPr>
      </w:pPr>
    </w:p>
    <w:p w:rsidR="000E265F" w:rsidRPr="0081449F" w:rsidRDefault="0085493E" w:rsidP="0081449F">
      <w:pPr>
        <w:pStyle w:val="ListParagraph"/>
        <w:numPr>
          <w:ilvl w:val="0"/>
          <w:numId w:val="26"/>
        </w:numPr>
        <w:rPr>
          <w:rFonts w:cs="Arial"/>
          <w:color w:val="000000" w:themeColor="text1"/>
          <w:szCs w:val="24"/>
          <w:u w:val="single"/>
        </w:rPr>
      </w:pPr>
      <w:r w:rsidRPr="0081449F">
        <w:rPr>
          <w:rFonts w:cs="Arial"/>
          <w:color w:val="000000" w:themeColor="text1"/>
          <w:szCs w:val="24"/>
          <w:u w:val="single"/>
        </w:rPr>
        <w:t xml:space="preserve">Preparations for two By-elections at Thaba-Phechela and Thaba-Moea and 27 Local By-elections. </w:t>
      </w:r>
    </w:p>
    <w:p w:rsidR="0085493E" w:rsidRDefault="0085493E" w:rsidP="000E265F">
      <w:pPr>
        <w:rPr>
          <w:rFonts w:cs="Arial"/>
          <w:color w:val="000000" w:themeColor="text1"/>
          <w:szCs w:val="24"/>
          <w:u w:val="single"/>
        </w:rPr>
      </w:pPr>
    </w:p>
    <w:p w:rsidR="0085493E" w:rsidRPr="006D1A4D" w:rsidRDefault="0085493E" w:rsidP="0081449F">
      <w:pPr>
        <w:pStyle w:val="ListParagraph"/>
        <w:numPr>
          <w:ilvl w:val="0"/>
          <w:numId w:val="26"/>
        </w:numPr>
        <w:rPr>
          <w:rFonts w:cs="Arial"/>
          <w:color w:val="000000" w:themeColor="text1"/>
          <w:szCs w:val="24"/>
        </w:rPr>
      </w:pPr>
      <w:r w:rsidRPr="006D1A4D">
        <w:rPr>
          <w:rFonts w:cs="Arial"/>
          <w:color w:val="000000" w:themeColor="text1"/>
          <w:szCs w:val="24"/>
        </w:rPr>
        <w:t>Collaborated with LCN for observation of February 15</w:t>
      </w:r>
      <w:r w:rsidRPr="006D1A4D">
        <w:rPr>
          <w:rFonts w:cs="Arial"/>
          <w:color w:val="000000" w:themeColor="text1"/>
          <w:szCs w:val="24"/>
          <w:vertAlign w:val="superscript"/>
        </w:rPr>
        <w:t>th</w:t>
      </w:r>
      <w:r w:rsidRPr="006D1A4D">
        <w:rPr>
          <w:rFonts w:cs="Arial"/>
          <w:color w:val="000000" w:themeColor="text1"/>
          <w:szCs w:val="24"/>
        </w:rPr>
        <w:t xml:space="preserve"> National</w:t>
      </w:r>
      <w:r w:rsidR="006D1A4D" w:rsidRPr="006D1A4D">
        <w:rPr>
          <w:rFonts w:cs="Arial"/>
          <w:color w:val="000000" w:themeColor="text1"/>
          <w:szCs w:val="24"/>
          <w:u w:val="single"/>
        </w:rPr>
        <w:t xml:space="preserve"> </w:t>
      </w:r>
      <w:r w:rsidR="006D1A4D" w:rsidRPr="0081449F">
        <w:rPr>
          <w:rFonts w:cs="Arial"/>
          <w:color w:val="000000" w:themeColor="text1"/>
          <w:szCs w:val="24"/>
          <w:u w:val="single"/>
        </w:rPr>
        <w:t>By-elections at Thaba-Phechela and Thaba-Moea</w:t>
      </w:r>
      <w:r w:rsidR="006D1A4D">
        <w:rPr>
          <w:rFonts w:cs="Arial"/>
          <w:color w:val="000000" w:themeColor="text1"/>
          <w:szCs w:val="24"/>
          <w:u w:val="single"/>
        </w:rPr>
        <w:t xml:space="preserve"> constituencies</w:t>
      </w:r>
      <w:r w:rsidR="006D1A4D">
        <w:rPr>
          <w:rFonts w:cs="Arial"/>
          <w:color w:val="000000" w:themeColor="text1"/>
          <w:szCs w:val="24"/>
        </w:rPr>
        <w:t xml:space="preserve"> </w:t>
      </w:r>
      <w:r w:rsidRPr="006D1A4D">
        <w:rPr>
          <w:rFonts w:cs="Arial"/>
          <w:color w:val="000000" w:themeColor="text1"/>
          <w:szCs w:val="24"/>
        </w:rPr>
        <w:t xml:space="preserve"> and</w:t>
      </w:r>
      <w:r w:rsidR="006D1A4D">
        <w:rPr>
          <w:rFonts w:cs="Arial"/>
          <w:color w:val="000000" w:themeColor="text1"/>
          <w:szCs w:val="24"/>
        </w:rPr>
        <w:t xml:space="preserve"> 27 </w:t>
      </w:r>
      <w:r w:rsidRPr="006D1A4D">
        <w:rPr>
          <w:rFonts w:cs="Arial"/>
          <w:color w:val="000000" w:themeColor="text1"/>
          <w:szCs w:val="24"/>
        </w:rPr>
        <w:t xml:space="preserve"> Local By-Elections</w:t>
      </w:r>
    </w:p>
    <w:p w:rsidR="000E265F" w:rsidRDefault="000E265F" w:rsidP="000E265F">
      <w:pPr>
        <w:rPr>
          <w:rFonts w:cs="Arial"/>
          <w:color w:val="000000" w:themeColor="text1"/>
          <w:szCs w:val="24"/>
          <w:u w:val="single"/>
        </w:rPr>
      </w:pPr>
    </w:p>
    <w:p w:rsidR="000E265F" w:rsidRDefault="000E265F" w:rsidP="000E265F">
      <w:pPr>
        <w:rPr>
          <w:b/>
          <w:u w:val="single"/>
        </w:rPr>
      </w:pPr>
      <w:r w:rsidRPr="001C7A65">
        <w:rPr>
          <w:rFonts w:cs="Arial"/>
          <w:b/>
          <w:color w:val="000000" w:themeColor="text1"/>
          <w:szCs w:val="24"/>
          <w:u w:val="single"/>
        </w:rPr>
        <w:t>National Assemb</w:t>
      </w:r>
      <w:r w:rsidRPr="00796A9D">
        <w:rPr>
          <w:rFonts w:cs="Arial"/>
          <w:b/>
          <w:color w:val="000000" w:themeColor="text1"/>
          <w:szCs w:val="24"/>
          <w:u w:val="single"/>
        </w:rPr>
        <w:t>l</w:t>
      </w:r>
      <w:r w:rsidRPr="00796A9D">
        <w:rPr>
          <w:b/>
          <w:u w:val="single"/>
        </w:rPr>
        <w:t>y</w:t>
      </w:r>
    </w:p>
    <w:p w:rsidR="000E265F" w:rsidRPr="006D1A4D" w:rsidRDefault="000E265F" w:rsidP="000E265F">
      <w:pPr>
        <w:rPr>
          <w:rFonts w:cs="Arial"/>
          <w:szCs w:val="24"/>
          <w:u w:val="single"/>
        </w:rPr>
      </w:pPr>
    </w:p>
    <w:p w:rsidR="007D3EFD" w:rsidRPr="006D1A4D" w:rsidRDefault="0085493E" w:rsidP="0081449F">
      <w:pPr>
        <w:pStyle w:val="ListParagraph"/>
        <w:numPr>
          <w:ilvl w:val="0"/>
          <w:numId w:val="27"/>
        </w:numPr>
        <w:rPr>
          <w:rFonts w:cs="Arial"/>
          <w:szCs w:val="24"/>
          <w:u w:val="single"/>
        </w:rPr>
      </w:pPr>
      <w:r w:rsidRPr="006D1A4D">
        <w:rPr>
          <w:rFonts w:cs="Arial"/>
          <w:szCs w:val="24"/>
          <w:u w:val="single"/>
        </w:rPr>
        <w:t>Due to the fact that the National Assembly completed all its activities by December 31</w:t>
      </w:r>
      <w:r w:rsidRPr="006D1A4D">
        <w:rPr>
          <w:rFonts w:cs="Arial"/>
          <w:szCs w:val="24"/>
          <w:u w:val="single"/>
          <w:vertAlign w:val="superscript"/>
        </w:rPr>
        <w:t>st</w:t>
      </w:r>
      <w:r w:rsidRPr="006D1A4D">
        <w:rPr>
          <w:rFonts w:cs="Arial"/>
          <w:szCs w:val="24"/>
          <w:u w:val="single"/>
        </w:rPr>
        <w:t>, no activities were undertaken</w:t>
      </w:r>
      <w:r w:rsidR="006D1A4D" w:rsidRPr="006D1A4D">
        <w:rPr>
          <w:rFonts w:cs="Arial"/>
          <w:szCs w:val="24"/>
          <w:u w:val="single"/>
        </w:rPr>
        <w:t xml:space="preserve"> in 2014.</w:t>
      </w:r>
    </w:p>
    <w:p w:rsidR="007D3EFD" w:rsidRPr="0081449F" w:rsidRDefault="007D3EFD" w:rsidP="000E265F">
      <w:pPr>
        <w:rPr>
          <w:rFonts w:cs="Arial"/>
          <w:color w:val="000000" w:themeColor="text1"/>
          <w:szCs w:val="24"/>
          <w:u w:val="single"/>
        </w:rPr>
      </w:pPr>
    </w:p>
    <w:p w:rsidR="000E265F" w:rsidRPr="001C7A65" w:rsidRDefault="000E265F" w:rsidP="000E265F">
      <w:pPr>
        <w:rPr>
          <w:rFonts w:cs="Arial"/>
          <w:b/>
          <w:color w:val="000000" w:themeColor="text1"/>
          <w:szCs w:val="24"/>
          <w:u w:val="single"/>
        </w:rPr>
      </w:pPr>
      <w:r w:rsidRPr="001C7A65">
        <w:rPr>
          <w:rFonts w:cs="Arial"/>
          <w:b/>
          <w:color w:val="000000" w:themeColor="text1"/>
          <w:szCs w:val="24"/>
          <w:u w:val="single"/>
        </w:rPr>
        <w:t xml:space="preserve">Ministry of </w:t>
      </w:r>
      <w:r>
        <w:rPr>
          <w:rFonts w:cs="Arial"/>
          <w:b/>
          <w:color w:val="000000" w:themeColor="text1"/>
          <w:szCs w:val="24"/>
          <w:u w:val="single"/>
        </w:rPr>
        <w:t>Law</w:t>
      </w:r>
      <w:r w:rsidRPr="001C7A65">
        <w:rPr>
          <w:rFonts w:cs="Arial"/>
          <w:b/>
          <w:color w:val="000000" w:themeColor="text1"/>
          <w:szCs w:val="24"/>
          <w:u w:val="single"/>
        </w:rPr>
        <w:t xml:space="preserve">, </w:t>
      </w:r>
      <w:r>
        <w:rPr>
          <w:rFonts w:cs="Arial"/>
          <w:b/>
          <w:color w:val="000000" w:themeColor="text1"/>
          <w:szCs w:val="24"/>
          <w:u w:val="single"/>
        </w:rPr>
        <w:t xml:space="preserve">Constitutional Affairs and </w:t>
      </w:r>
      <w:r w:rsidRPr="001C7A65">
        <w:rPr>
          <w:rFonts w:cs="Arial"/>
          <w:b/>
          <w:color w:val="000000" w:themeColor="text1"/>
          <w:szCs w:val="24"/>
          <w:u w:val="single"/>
        </w:rPr>
        <w:t xml:space="preserve">Human Rights </w:t>
      </w:r>
    </w:p>
    <w:p w:rsidR="0085493E" w:rsidRDefault="0085493E" w:rsidP="0085493E">
      <w:pPr>
        <w:pStyle w:val="PlainText"/>
      </w:pPr>
    </w:p>
    <w:p w:rsidR="0085493E" w:rsidRPr="0081449F" w:rsidRDefault="0081449F" w:rsidP="0085493E">
      <w:pPr>
        <w:pStyle w:val="PlainText"/>
        <w:rPr>
          <w:rFonts w:ascii="Arial" w:hAnsi="Arial" w:cs="Arial"/>
          <w:sz w:val="24"/>
          <w:szCs w:val="24"/>
        </w:rPr>
      </w:pPr>
      <w:r>
        <w:rPr>
          <w:rFonts w:ascii="Arial" w:hAnsi="Arial" w:cs="Arial"/>
          <w:sz w:val="24"/>
          <w:szCs w:val="24"/>
        </w:rPr>
        <w:t xml:space="preserve">Finalized </w:t>
      </w:r>
      <w:r w:rsidR="0085493E" w:rsidRPr="0081449F">
        <w:rPr>
          <w:rFonts w:ascii="Arial" w:hAnsi="Arial" w:cs="Arial"/>
          <w:sz w:val="24"/>
          <w:szCs w:val="24"/>
        </w:rPr>
        <w:t>preparations for the consultative workshop on human rights policy scheduled for 15 to 16 April, 2014.</w:t>
      </w:r>
    </w:p>
    <w:p w:rsidR="0081449F" w:rsidRDefault="0081449F" w:rsidP="00635D57">
      <w:pPr>
        <w:rPr>
          <w:rFonts w:cs="Arial"/>
          <w:b/>
          <w:color w:val="000000" w:themeColor="text1"/>
          <w:szCs w:val="24"/>
          <w:u w:val="single"/>
        </w:rPr>
      </w:pPr>
    </w:p>
    <w:p w:rsidR="00635D57" w:rsidRDefault="00987CF2" w:rsidP="00635D57">
      <w:pPr>
        <w:rPr>
          <w:rFonts w:cs="Arial"/>
          <w:color w:val="000000" w:themeColor="text1"/>
          <w:szCs w:val="24"/>
        </w:rPr>
      </w:pPr>
      <w:r w:rsidRPr="001C7A65">
        <w:rPr>
          <w:rFonts w:cs="Arial"/>
          <w:b/>
          <w:color w:val="000000" w:themeColor="text1"/>
          <w:szCs w:val="24"/>
          <w:u w:val="single"/>
        </w:rPr>
        <w:t>Senate</w:t>
      </w:r>
    </w:p>
    <w:p w:rsidR="00635D57" w:rsidRDefault="00635D57" w:rsidP="00635D57">
      <w:pPr>
        <w:rPr>
          <w:rFonts w:cs="Arial"/>
          <w:color w:val="000000" w:themeColor="text1"/>
          <w:szCs w:val="24"/>
        </w:rPr>
      </w:pPr>
    </w:p>
    <w:p w:rsidR="0081449F" w:rsidRPr="0081449F" w:rsidRDefault="0081449F" w:rsidP="0081449F">
      <w:pPr>
        <w:pStyle w:val="ListParagraph"/>
        <w:numPr>
          <w:ilvl w:val="0"/>
          <w:numId w:val="27"/>
        </w:numPr>
        <w:rPr>
          <w:rFonts w:cs="Arial"/>
          <w:color w:val="000000" w:themeColor="text1"/>
          <w:szCs w:val="24"/>
        </w:rPr>
      </w:pPr>
      <w:r>
        <w:rPr>
          <w:rFonts w:ascii="Helvetica" w:hAnsi="Helvetica" w:cs="Helvetica"/>
          <w:color w:val="000000"/>
        </w:rPr>
        <w:t>Finilzed preparations for printing Sesotho and English Versions of Senate Standing Orders together with the Orientation and Public Participation Manuals.</w:t>
      </w:r>
    </w:p>
    <w:p w:rsidR="0081449F" w:rsidRDefault="0081449F" w:rsidP="00635D57">
      <w:pPr>
        <w:rPr>
          <w:rFonts w:cs="Arial"/>
          <w:color w:val="000000" w:themeColor="text1"/>
          <w:szCs w:val="24"/>
        </w:rPr>
      </w:pPr>
    </w:p>
    <w:p w:rsidR="00987CF2" w:rsidRPr="001C7A65" w:rsidRDefault="009F04F7" w:rsidP="00987CF2">
      <w:pPr>
        <w:pStyle w:val="Heading2"/>
        <w:rPr>
          <w:color w:val="000000" w:themeColor="text1"/>
        </w:rPr>
      </w:pPr>
      <w:r w:rsidRPr="001C7A65">
        <w:rPr>
          <w:rFonts w:cs="Arial"/>
          <w:color w:val="000000" w:themeColor="text1"/>
          <w:szCs w:val="28"/>
        </w:rPr>
        <w:t>3.)</w:t>
      </w:r>
      <w:r w:rsidR="009D5EAE" w:rsidRPr="001C7A65">
        <w:rPr>
          <w:rFonts w:cs="Arial"/>
          <w:color w:val="000000" w:themeColor="text1"/>
          <w:szCs w:val="28"/>
        </w:rPr>
        <w:t xml:space="preserve"> </w:t>
      </w:r>
      <w:r w:rsidR="00F700AA">
        <w:rPr>
          <w:rFonts w:cs="Arial"/>
          <w:color w:val="000000" w:themeColor="text1"/>
          <w:szCs w:val="28"/>
        </w:rPr>
        <w:t xml:space="preserve">Planned </w:t>
      </w:r>
      <w:r w:rsidR="00DB3D83" w:rsidRPr="001C7A65">
        <w:rPr>
          <w:color w:val="000000" w:themeColor="text1"/>
        </w:rPr>
        <w:t>Activities</w:t>
      </w:r>
      <w:r w:rsidR="00F700AA">
        <w:rPr>
          <w:color w:val="000000" w:themeColor="text1"/>
        </w:rPr>
        <w:t xml:space="preserve"> for </w:t>
      </w:r>
      <w:r w:rsidR="00384E94">
        <w:rPr>
          <w:color w:val="000000" w:themeColor="text1"/>
        </w:rPr>
        <w:t>2</w:t>
      </w:r>
      <w:r w:rsidR="00384E94" w:rsidRPr="00384E94">
        <w:rPr>
          <w:color w:val="000000" w:themeColor="text1"/>
          <w:vertAlign w:val="superscript"/>
        </w:rPr>
        <w:t>nd</w:t>
      </w:r>
      <w:r w:rsidR="00384E94">
        <w:rPr>
          <w:color w:val="000000" w:themeColor="text1"/>
        </w:rPr>
        <w:t xml:space="preserve"> </w:t>
      </w:r>
      <w:r w:rsidR="00F700AA">
        <w:rPr>
          <w:color w:val="000000" w:themeColor="text1"/>
        </w:rPr>
        <w:t>Quarter 2014</w:t>
      </w:r>
      <w:r w:rsidR="001A36C3">
        <w:rPr>
          <w:color w:val="000000" w:themeColor="text1"/>
        </w:rPr>
        <w:t xml:space="preserve"> </w:t>
      </w:r>
    </w:p>
    <w:p w:rsidR="00987CF2" w:rsidRPr="001C7A65" w:rsidRDefault="007A4379" w:rsidP="009D5EAE">
      <w:pPr>
        <w:pStyle w:val="Heading2"/>
        <w:rPr>
          <w:rFonts w:cs="Arial"/>
          <w:color w:val="000000" w:themeColor="text1"/>
          <w:sz w:val="24"/>
          <w:szCs w:val="24"/>
        </w:rPr>
      </w:pPr>
      <w:r w:rsidRPr="001C7A65">
        <w:rPr>
          <w:rFonts w:cs="Arial"/>
          <w:color w:val="000000" w:themeColor="text1"/>
          <w:sz w:val="24"/>
          <w:szCs w:val="24"/>
        </w:rPr>
        <w:t>SENATE</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4F7" w:rsidRPr="001C7A65" w:rsidRDefault="009F04F7" w:rsidP="007A4379">
            <w:pPr>
              <w:rPr>
                <w:rFonts w:cs="Arial"/>
                <w:color w:val="000000" w:themeColor="text1"/>
              </w:rPr>
            </w:pPr>
            <w:r w:rsidRPr="001C7A65">
              <w:rPr>
                <w:rFonts w:cs="Arial"/>
                <w:bCs/>
                <w:color w:val="000000" w:themeColor="text1"/>
                <w:szCs w:val="24"/>
              </w:rPr>
              <w:t>DESCRIPTION</w:t>
            </w:r>
          </w:p>
        </w:tc>
      </w:tr>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9D5EAE" w:rsidP="007A4379">
            <w:pPr>
              <w:rPr>
                <w:rFonts w:eastAsiaTheme="minorHAnsi" w:cs="Arial"/>
                <w:b/>
                <w:bCs/>
                <w:color w:val="000000" w:themeColor="text1"/>
                <w:szCs w:val="24"/>
              </w:rPr>
            </w:pPr>
            <w:r w:rsidRPr="001C7A65">
              <w:rPr>
                <w:rFonts w:cs="Arial"/>
                <w:color w:val="000000" w:themeColor="text1"/>
              </w:rPr>
              <w:t>Wo</w:t>
            </w:r>
            <w:r w:rsidR="007A4379" w:rsidRPr="001C7A65">
              <w:rPr>
                <w:rFonts w:cs="Arial"/>
                <w:color w:val="000000" w:themeColor="text1"/>
              </w:rPr>
              <w:t>rkshop on public participation for Senators facilitate</w:t>
            </w:r>
            <w:r w:rsidRPr="001C7A65">
              <w:rPr>
                <w:rFonts w:cs="Arial"/>
                <w:color w:val="000000" w:themeColor="text1"/>
              </w:rPr>
              <w:t>d by the Free State Legislature</w:t>
            </w:r>
            <w:r w:rsidR="00A176ED">
              <w:rPr>
                <w:rFonts w:cs="Arial"/>
                <w:color w:val="000000" w:themeColor="text1"/>
              </w:rPr>
              <w:t xml:space="preserve"> </w:t>
            </w:r>
          </w:p>
        </w:tc>
      </w:tr>
      <w:tr w:rsidR="001C7A65" w:rsidRPr="001C7A65" w:rsidTr="007A4379">
        <w:trPr>
          <w:trHeight w:val="267"/>
        </w:trPr>
        <w:tc>
          <w:tcPr>
            <w:tcW w:w="9198" w:type="dxa"/>
            <w:tcBorders>
              <w:top w:val="nil"/>
              <w:left w:val="single" w:sz="8" w:space="0" w:color="000000"/>
              <w:bottom w:val="single" w:sz="8" w:space="0" w:color="000000"/>
              <w:right w:val="single" w:sz="8" w:space="0" w:color="000000"/>
            </w:tcBorders>
            <w:vAlign w:val="center"/>
            <w:hideMark/>
          </w:tcPr>
          <w:p w:rsidR="007A4379" w:rsidRPr="001C7A65" w:rsidRDefault="007A4379" w:rsidP="009E6F47">
            <w:pPr>
              <w:overflowPunct/>
              <w:autoSpaceDE/>
              <w:rPr>
                <w:rFonts w:eastAsiaTheme="minorHAnsi" w:cs="Arial"/>
                <w:color w:val="000000" w:themeColor="text1"/>
                <w:szCs w:val="24"/>
              </w:rPr>
            </w:pPr>
            <w:r w:rsidRPr="001C7A65">
              <w:rPr>
                <w:rFonts w:cs="Arial"/>
                <w:color w:val="000000" w:themeColor="text1"/>
              </w:rPr>
              <w:t>Print Sesotho and English language ver</w:t>
            </w:r>
            <w:r w:rsidR="009D5EAE" w:rsidRPr="001C7A65">
              <w:rPr>
                <w:rFonts w:cs="Arial"/>
                <w:color w:val="000000" w:themeColor="text1"/>
              </w:rPr>
              <w:t>sions of Senate Standing Orders</w:t>
            </w:r>
          </w:p>
        </w:tc>
      </w:tr>
    </w:tbl>
    <w:p w:rsidR="00280D5D" w:rsidRDefault="00280D5D" w:rsidP="00987CF2">
      <w:pPr>
        <w:rPr>
          <w:rFonts w:cs="Arial"/>
          <w:b/>
          <w:bCs/>
          <w:color w:val="000000" w:themeColor="text1"/>
          <w:szCs w:val="24"/>
        </w:rPr>
      </w:pPr>
    </w:p>
    <w:p w:rsidR="006C1CFB" w:rsidRPr="001C7A65" w:rsidRDefault="006C1CFB"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HUMAN RIGHTS</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4379" w:rsidRPr="001C7A65" w:rsidRDefault="009D5EAE" w:rsidP="009D5EAE">
            <w:pPr>
              <w:jc w:val="both"/>
              <w:rPr>
                <w:rFonts w:eastAsiaTheme="minorHAnsi" w:cs="Arial"/>
                <w:color w:val="000000" w:themeColor="text1"/>
                <w:szCs w:val="24"/>
              </w:rPr>
            </w:pPr>
            <w:r w:rsidRPr="001C7A65">
              <w:rPr>
                <w:rFonts w:cs="Arial"/>
                <w:color w:val="000000" w:themeColor="text1"/>
                <w:lang w:val="en-US"/>
              </w:rPr>
              <w:t xml:space="preserve">Present to Parliament the National Human Rights Commission Bill 2011. </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4379" w:rsidRPr="001C7A65" w:rsidRDefault="00384E94" w:rsidP="009E6F47">
            <w:pPr>
              <w:jc w:val="both"/>
              <w:rPr>
                <w:rFonts w:eastAsiaTheme="minorHAnsi" w:cs="Arial"/>
                <w:color w:val="000000" w:themeColor="text1"/>
                <w:szCs w:val="24"/>
              </w:rPr>
            </w:pPr>
            <w:r>
              <w:rPr>
                <w:rFonts w:cs="Arial"/>
                <w:color w:val="000000" w:themeColor="text1"/>
                <w:szCs w:val="24"/>
              </w:rPr>
              <w:t>D</w:t>
            </w:r>
            <w:r w:rsidR="00A176ED">
              <w:rPr>
                <w:rFonts w:cs="Arial"/>
                <w:color w:val="000000" w:themeColor="text1"/>
                <w:szCs w:val="24"/>
              </w:rPr>
              <w:t>evelop a</w:t>
            </w:r>
            <w:r>
              <w:rPr>
                <w:rFonts w:cs="Arial"/>
                <w:color w:val="000000" w:themeColor="text1"/>
                <w:szCs w:val="24"/>
              </w:rPr>
              <w:t xml:space="preserve"> strategic plan and a</w:t>
            </w:r>
            <w:r w:rsidR="00A176ED">
              <w:rPr>
                <w:rFonts w:cs="Arial"/>
                <w:color w:val="000000" w:themeColor="text1"/>
                <w:szCs w:val="24"/>
              </w:rPr>
              <w:t xml:space="preserve"> human rights policy for the Ministry of Law, Constitutional Affairs and Human Rights.</w:t>
            </w:r>
          </w:p>
          <w:p w:rsidR="007A4379" w:rsidRPr="001C7A65" w:rsidRDefault="007A4379" w:rsidP="009E6F47">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jc w:val="both"/>
              <w:rPr>
                <w:rFonts w:eastAsiaTheme="minorHAnsi" w:cs="Arial"/>
                <w:color w:val="000000" w:themeColor="text1"/>
                <w:szCs w:val="24"/>
              </w:rPr>
            </w:pPr>
          </w:p>
        </w:tc>
      </w:tr>
      <w:tr w:rsidR="001C7A65" w:rsidRPr="001C7A65" w:rsidTr="00DE166F">
        <w:tc>
          <w:tcPr>
            <w:tcW w:w="9198" w:type="dxa"/>
            <w:tcBorders>
              <w:top w:val="nil"/>
              <w:left w:val="single" w:sz="8" w:space="0" w:color="000000"/>
              <w:bottom w:val="nil"/>
              <w:right w:val="single" w:sz="8" w:space="0" w:color="000000"/>
            </w:tcBorders>
            <w:tcMar>
              <w:top w:w="0" w:type="dxa"/>
              <w:left w:w="108" w:type="dxa"/>
              <w:bottom w:w="0" w:type="dxa"/>
              <w:right w:w="108" w:type="dxa"/>
            </w:tcMar>
            <w:hideMark/>
          </w:tcPr>
          <w:p w:rsidR="009D5EAE" w:rsidRPr="001C7A65" w:rsidRDefault="009D5EAE" w:rsidP="009D5EAE">
            <w:pPr>
              <w:jc w:val="both"/>
              <w:rPr>
                <w:rFonts w:cs="Arial"/>
                <w:color w:val="000000" w:themeColor="text1"/>
              </w:rPr>
            </w:pPr>
            <w:r w:rsidRPr="001C7A65">
              <w:rPr>
                <w:rFonts w:cs="Arial"/>
                <w:color w:val="000000" w:themeColor="text1"/>
              </w:rPr>
              <w:t>Hold</w:t>
            </w:r>
            <w:r w:rsidR="00A176ED">
              <w:rPr>
                <w:rFonts w:cs="Arial"/>
                <w:color w:val="000000" w:themeColor="text1"/>
              </w:rPr>
              <w:t xml:space="preserve"> </w:t>
            </w:r>
            <w:r w:rsidRPr="001C7A65">
              <w:rPr>
                <w:rFonts w:cs="Arial"/>
                <w:color w:val="000000" w:themeColor="text1"/>
              </w:rPr>
              <w:t>drafting meetings and a validation workshop on the International Convention on the Elimination of Racial Discrimination (ICERD)</w:t>
            </w:r>
            <w:r w:rsidR="00A176ED">
              <w:rPr>
                <w:rFonts w:cs="Arial"/>
                <w:color w:val="000000" w:themeColor="text1"/>
              </w:rPr>
              <w:t xml:space="preserve"> and develop an implementation plan</w:t>
            </w:r>
          </w:p>
          <w:p w:rsidR="007A4379" w:rsidRPr="001C7A65" w:rsidRDefault="007A4379" w:rsidP="009E6F47">
            <w:pPr>
              <w:jc w:val="both"/>
              <w:rPr>
                <w:rFonts w:eastAsiaTheme="minorHAnsi" w:cs="Arial"/>
                <w:b/>
                <w:color w:val="000000" w:themeColor="text1"/>
                <w:szCs w:val="24"/>
              </w:rPr>
            </w:pPr>
          </w:p>
        </w:tc>
      </w:tr>
      <w:tr w:rsidR="00DE166F"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E166F" w:rsidRPr="001C7A65" w:rsidRDefault="00DE166F" w:rsidP="009D5EAE">
            <w:pPr>
              <w:jc w:val="both"/>
              <w:rPr>
                <w:rFonts w:cs="Arial"/>
                <w:color w:val="000000" w:themeColor="text1"/>
              </w:rPr>
            </w:pPr>
            <w:r>
              <w:rPr>
                <w:rFonts w:cs="Arial"/>
                <w:color w:val="000000" w:themeColor="text1"/>
              </w:rPr>
              <w:t>Develop a strategic plan for the Ministry</w:t>
            </w:r>
          </w:p>
        </w:tc>
      </w:tr>
    </w:tbl>
    <w:p w:rsidR="00384E94" w:rsidRPr="001C7A65" w:rsidRDefault="00384E94" w:rsidP="00987CF2">
      <w:pPr>
        <w:rPr>
          <w:rFonts w:cs="Arial"/>
          <w:b/>
          <w:bCs/>
          <w:color w:val="000000" w:themeColor="text1"/>
          <w:szCs w:val="24"/>
        </w:rPr>
      </w:pPr>
    </w:p>
    <w:p w:rsidR="00A23808" w:rsidRDefault="00A23808" w:rsidP="00987CF2">
      <w:pPr>
        <w:rPr>
          <w:rFonts w:cs="Arial"/>
          <w:b/>
          <w:bCs/>
          <w:color w:val="000000" w:themeColor="text1"/>
          <w:szCs w:val="24"/>
        </w:rPr>
      </w:pPr>
    </w:p>
    <w:p w:rsidR="00384E94" w:rsidRPr="001C7A65" w:rsidRDefault="00384E94" w:rsidP="00987CF2">
      <w:pPr>
        <w:rPr>
          <w:rFonts w:cs="Arial"/>
          <w:b/>
          <w:bCs/>
          <w:color w:val="000000" w:themeColor="text1"/>
          <w:szCs w:val="24"/>
        </w:rPr>
      </w:pPr>
    </w:p>
    <w:p w:rsidR="00F700AA" w:rsidRPr="001C7A65" w:rsidRDefault="00F700AA"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OFICE OF THE OMBUDSMAN</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0533" w:rsidRPr="001C7A65" w:rsidRDefault="006B0533" w:rsidP="006B0533">
            <w:pPr>
              <w:rPr>
                <w:rFonts w:cs="Arial"/>
                <w:color w:val="000000" w:themeColor="text1"/>
                <w:szCs w:val="24"/>
              </w:rPr>
            </w:pPr>
            <w:r w:rsidRPr="001C7A65">
              <w:rPr>
                <w:rFonts w:cs="Arial"/>
                <w:color w:val="000000" w:themeColor="text1"/>
              </w:rPr>
              <w:t>Sensitisation workshop for Principal Secretaries and Chief Executives of Parastatal Organisations</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b/>
                <w:bCs/>
                <w:color w:val="000000" w:themeColor="text1"/>
                <w:szCs w:val="24"/>
              </w:rPr>
            </w:pPr>
            <w:r w:rsidRPr="001C7A65">
              <w:rPr>
                <w:rFonts w:cs="Arial"/>
                <w:color w:val="000000" w:themeColor="text1"/>
                <w:szCs w:val="24"/>
              </w:rPr>
              <w:t>Develop a Monitoring and Follow-up system</w:t>
            </w:r>
          </w:p>
        </w:tc>
      </w:tr>
    </w:tbl>
    <w:p w:rsidR="00987CF2" w:rsidRPr="001C7A65" w:rsidRDefault="00987CF2" w:rsidP="00987CF2">
      <w:pPr>
        <w:rPr>
          <w:rFonts w:eastAsiaTheme="minorHAnsi" w:cs="Arial"/>
          <w:color w:val="000000" w:themeColor="text1"/>
          <w:szCs w:val="24"/>
          <w:lang w:val="en-US"/>
        </w:rPr>
      </w:pPr>
    </w:p>
    <w:p w:rsidR="00490E32" w:rsidRDefault="00490E32"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IEC</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9E6F47">
            <w:pPr>
              <w:rPr>
                <w:rFonts w:eastAsiaTheme="minorHAnsi" w:cs="Arial"/>
                <w:color w:val="000000" w:themeColor="text1"/>
                <w:szCs w:val="24"/>
              </w:rPr>
            </w:pPr>
          </w:p>
        </w:tc>
      </w:tr>
      <w:tr w:rsidR="001C7A65" w:rsidRPr="001C7A65" w:rsidTr="0081449F">
        <w:tc>
          <w:tcPr>
            <w:tcW w:w="9198" w:type="dxa"/>
            <w:tcBorders>
              <w:top w:val="nil"/>
              <w:left w:val="single" w:sz="8" w:space="0" w:color="000000"/>
              <w:bottom w:val="nil"/>
              <w:right w:val="single" w:sz="8" w:space="0" w:color="000000"/>
            </w:tcBorders>
            <w:tcMar>
              <w:top w:w="0" w:type="dxa"/>
              <w:left w:w="108" w:type="dxa"/>
              <w:bottom w:w="0" w:type="dxa"/>
              <w:right w:w="108" w:type="dxa"/>
            </w:tcMar>
            <w:hideMark/>
          </w:tcPr>
          <w:p w:rsidR="007A4379" w:rsidRPr="001C7A65" w:rsidRDefault="00384E94" w:rsidP="00E0799A">
            <w:pPr>
              <w:rPr>
                <w:rFonts w:eastAsiaTheme="minorHAnsi" w:cs="Arial"/>
                <w:color w:val="000000" w:themeColor="text1"/>
                <w:szCs w:val="24"/>
              </w:rPr>
            </w:pPr>
            <w:r>
              <w:rPr>
                <w:rFonts w:cs="Arial"/>
                <w:color w:val="000000" w:themeColor="text1"/>
              </w:rPr>
              <w:t>Hold a dialogue on gender for electoral stakeholders</w:t>
            </w:r>
          </w:p>
        </w:tc>
      </w:tr>
      <w:tr w:rsidR="0081449F"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449F" w:rsidRDefault="0081449F" w:rsidP="00E0799A">
            <w:pPr>
              <w:rPr>
                <w:rFonts w:cs="Arial"/>
                <w:color w:val="000000" w:themeColor="text1"/>
              </w:rPr>
            </w:pPr>
          </w:p>
          <w:p w:rsidR="0081449F" w:rsidRDefault="0081449F" w:rsidP="00E0799A">
            <w:pPr>
              <w:rPr>
                <w:rFonts w:cs="Arial"/>
                <w:color w:val="000000" w:themeColor="text1"/>
              </w:rPr>
            </w:pPr>
            <w:r>
              <w:rPr>
                <w:rFonts w:cs="Arial"/>
                <w:color w:val="000000" w:themeColor="text1"/>
              </w:rPr>
              <w:t>Capacity building for new Commissioners</w:t>
            </w:r>
          </w:p>
        </w:tc>
      </w:tr>
    </w:tbl>
    <w:p w:rsidR="00987CF2" w:rsidRDefault="00987CF2" w:rsidP="00987CF2">
      <w:pPr>
        <w:rPr>
          <w:rFonts w:eastAsiaTheme="minorHAnsi" w:cs="Arial"/>
          <w:color w:val="000000" w:themeColor="text1"/>
          <w:szCs w:val="24"/>
          <w:lang w:val="en-US"/>
        </w:rPr>
      </w:pPr>
    </w:p>
    <w:p w:rsidR="007619DA" w:rsidRDefault="007619DA" w:rsidP="00987CF2">
      <w:pPr>
        <w:rPr>
          <w:rFonts w:eastAsiaTheme="minorHAnsi" w:cs="Arial"/>
          <w:color w:val="000000" w:themeColor="text1"/>
          <w:szCs w:val="24"/>
          <w:lang w:val="en-US"/>
        </w:rPr>
      </w:pPr>
    </w:p>
    <w:p w:rsidR="007619DA" w:rsidRPr="001C7A65" w:rsidRDefault="007619DA" w:rsidP="007619DA">
      <w:pPr>
        <w:rPr>
          <w:rFonts w:cs="Arial"/>
          <w:b/>
          <w:bCs/>
          <w:color w:val="000000" w:themeColor="text1"/>
          <w:szCs w:val="24"/>
        </w:rPr>
      </w:pPr>
      <w:r>
        <w:rPr>
          <w:rFonts w:cs="Arial"/>
          <w:b/>
          <w:bCs/>
          <w:color w:val="000000" w:themeColor="text1"/>
          <w:szCs w:val="24"/>
        </w:rPr>
        <w:t>PROJECT MANAGEMENT</w:t>
      </w:r>
    </w:p>
    <w:tbl>
      <w:tblPr>
        <w:tblW w:w="0" w:type="auto"/>
        <w:tblCellMar>
          <w:left w:w="0" w:type="dxa"/>
          <w:right w:w="0" w:type="dxa"/>
        </w:tblCellMar>
        <w:tblLook w:val="04A0" w:firstRow="1" w:lastRow="0" w:firstColumn="1" w:lastColumn="0" w:noHBand="0" w:noVBand="1"/>
      </w:tblPr>
      <w:tblGrid>
        <w:gridCol w:w="9198"/>
      </w:tblGrid>
      <w:tr w:rsidR="007619DA" w:rsidRPr="001C7A65" w:rsidTr="00A955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19DA" w:rsidRPr="001C7A65" w:rsidRDefault="007619DA" w:rsidP="00A95579">
            <w:pPr>
              <w:rPr>
                <w:rFonts w:eastAsiaTheme="minorHAnsi" w:cs="Arial"/>
                <w:bCs/>
                <w:color w:val="000000" w:themeColor="text1"/>
                <w:szCs w:val="24"/>
              </w:rPr>
            </w:pPr>
            <w:r>
              <w:rPr>
                <w:rFonts w:cs="Arial"/>
                <w:bCs/>
                <w:color w:val="000000" w:themeColor="text1"/>
                <w:szCs w:val="24"/>
              </w:rPr>
              <w:t>High level meeting at the end of April / May</w:t>
            </w:r>
          </w:p>
        </w:tc>
      </w:tr>
      <w:tr w:rsidR="007619DA" w:rsidRPr="001C7A65" w:rsidTr="00A955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19DA" w:rsidRPr="001C7A65" w:rsidRDefault="007619DA" w:rsidP="00A95579">
            <w:pPr>
              <w:rPr>
                <w:rFonts w:cs="Arial"/>
                <w:color w:val="000000" w:themeColor="text1"/>
                <w:szCs w:val="24"/>
              </w:rPr>
            </w:pPr>
            <w:r>
              <w:rPr>
                <w:rFonts w:cs="Arial"/>
                <w:color w:val="000000" w:themeColor="text1"/>
                <w:szCs w:val="24"/>
              </w:rPr>
              <w:t>End of project reports by CDGG IPs expected in mid-June</w:t>
            </w:r>
          </w:p>
        </w:tc>
      </w:tr>
      <w:tr w:rsidR="007619DA" w:rsidRPr="001C7A65" w:rsidTr="007619DA">
        <w:tc>
          <w:tcPr>
            <w:tcW w:w="9198" w:type="dxa"/>
            <w:tcBorders>
              <w:top w:val="nil"/>
              <w:left w:val="single" w:sz="8" w:space="0" w:color="000000"/>
              <w:bottom w:val="nil"/>
              <w:right w:val="single" w:sz="8" w:space="0" w:color="000000"/>
            </w:tcBorders>
            <w:tcMar>
              <w:top w:w="0" w:type="dxa"/>
              <w:left w:w="108" w:type="dxa"/>
              <w:bottom w:w="0" w:type="dxa"/>
              <w:right w:w="108" w:type="dxa"/>
            </w:tcMar>
            <w:hideMark/>
          </w:tcPr>
          <w:p w:rsidR="0081449F" w:rsidRDefault="007619DA" w:rsidP="00A95579">
            <w:pPr>
              <w:rPr>
                <w:rFonts w:cs="Arial"/>
                <w:color w:val="000000" w:themeColor="text1"/>
                <w:szCs w:val="24"/>
              </w:rPr>
            </w:pPr>
            <w:r>
              <w:rPr>
                <w:rFonts w:cs="Arial"/>
                <w:color w:val="000000" w:themeColor="text1"/>
                <w:szCs w:val="24"/>
              </w:rPr>
              <w:t>Conduct an evaluation of the project</w:t>
            </w:r>
          </w:p>
          <w:p w:rsidR="0081449F" w:rsidRPr="0081449F" w:rsidRDefault="0081449F" w:rsidP="00A95579">
            <w:pPr>
              <w:rPr>
                <w:rFonts w:eastAsiaTheme="minorHAnsi" w:cs="Arial"/>
                <w:bCs/>
                <w:color w:val="000000" w:themeColor="text1"/>
                <w:szCs w:val="24"/>
              </w:rPr>
            </w:pPr>
            <w:r w:rsidRPr="0081449F">
              <w:rPr>
                <w:rFonts w:eastAsiaTheme="minorHAnsi" w:cs="Arial"/>
                <w:bCs/>
                <w:color w:val="000000" w:themeColor="text1"/>
                <w:szCs w:val="24"/>
              </w:rPr>
              <w:t>Wrap-up</w:t>
            </w:r>
          </w:p>
          <w:p w:rsidR="0081449F" w:rsidRPr="001C7A65" w:rsidRDefault="0081449F" w:rsidP="00A95579">
            <w:pPr>
              <w:rPr>
                <w:rFonts w:eastAsiaTheme="minorHAnsi" w:cs="Arial"/>
                <w:b/>
                <w:bCs/>
                <w:color w:val="000000" w:themeColor="text1"/>
                <w:szCs w:val="24"/>
              </w:rPr>
            </w:pPr>
            <w:r w:rsidRPr="0081449F">
              <w:rPr>
                <w:rFonts w:eastAsiaTheme="minorHAnsi" w:cs="Arial"/>
                <w:bCs/>
                <w:color w:val="000000" w:themeColor="text1"/>
                <w:szCs w:val="24"/>
              </w:rPr>
              <w:t>Operational closure</w:t>
            </w:r>
          </w:p>
        </w:tc>
      </w:tr>
      <w:tr w:rsidR="007619DA" w:rsidRPr="001C7A65" w:rsidTr="0081449F">
        <w:tc>
          <w:tcPr>
            <w:tcW w:w="9198" w:type="dxa"/>
            <w:tcBorders>
              <w:top w:val="nil"/>
              <w:left w:val="single" w:sz="8" w:space="0" w:color="000000"/>
              <w:bottom w:val="nil"/>
              <w:right w:val="single" w:sz="8" w:space="0" w:color="000000"/>
            </w:tcBorders>
            <w:tcMar>
              <w:top w:w="0" w:type="dxa"/>
              <w:left w:w="108" w:type="dxa"/>
              <w:bottom w:w="0" w:type="dxa"/>
              <w:right w:w="108" w:type="dxa"/>
            </w:tcMar>
          </w:tcPr>
          <w:p w:rsidR="007619DA" w:rsidRDefault="007619DA" w:rsidP="00A95579">
            <w:pPr>
              <w:rPr>
                <w:rFonts w:cs="Arial"/>
                <w:color w:val="000000" w:themeColor="text1"/>
                <w:szCs w:val="24"/>
              </w:rPr>
            </w:pPr>
          </w:p>
        </w:tc>
      </w:tr>
      <w:tr w:rsidR="0081449F" w:rsidRPr="001C7A65" w:rsidTr="0081449F">
        <w:trPr>
          <w:trHeight w:val="80"/>
        </w:trPr>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449F" w:rsidRDefault="0081449F" w:rsidP="00A95579">
            <w:pPr>
              <w:rPr>
                <w:rFonts w:cs="Arial"/>
                <w:color w:val="000000" w:themeColor="text1"/>
                <w:szCs w:val="24"/>
              </w:rPr>
            </w:pPr>
          </w:p>
        </w:tc>
      </w:tr>
    </w:tbl>
    <w:p w:rsidR="007619DA" w:rsidRPr="001C7A65" w:rsidRDefault="007619DA" w:rsidP="007619DA">
      <w:pPr>
        <w:rPr>
          <w:rFonts w:eastAsiaTheme="minorHAnsi" w:cs="Arial"/>
          <w:color w:val="000000" w:themeColor="text1"/>
          <w:szCs w:val="24"/>
          <w:lang w:val="en-US"/>
        </w:rPr>
      </w:pPr>
    </w:p>
    <w:p w:rsidR="007619DA" w:rsidRDefault="007619DA" w:rsidP="00987CF2">
      <w:pPr>
        <w:rPr>
          <w:rFonts w:eastAsiaTheme="minorHAnsi" w:cs="Arial"/>
          <w:color w:val="000000" w:themeColor="text1"/>
          <w:szCs w:val="24"/>
          <w:lang w:val="en-US"/>
        </w:rPr>
      </w:pPr>
    </w:p>
    <w:p w:rsidR="006B0533" w:rsidRPr="001C7A65" w:rsidRDefault="006B0533" w:rsidP="006B0533">
      <w:pPr>
        <w:rPr>
          <w:color w:val="000000" w:themeColor="text1"/>
        </w:rPr>
      </w:pPr>
    </w:p>
    <w:tbl>
      <w:tblPr>
        <w:tblW w:w="13261" w:type="dxa"/>
        <w:tblLook w:val="01E0" w:firstRow="1" w:lastRow="1" w:firstColumn="1" w:lastColumn="1" w:noHBand="0" w:noVBand="0"/>
      </w:tblPr>
      <w:tblGrid>
        <w:gridCol w:w="3036"/>
        <w:gridCol w:w="3408"/>
        <w:gridCol w:w="6817"/>
      </w:tblGrid>
      <w:tr w:rsidR="00987CF2" w:rsidRPr="001C7A65" w:rsidTr="00E0799A">
        <w:trPr>
          <w:trHeight w:val="3281"/>
        </w:trPr>
        <w:tc>
          <w:tcPr>
            <w:tcW w:w="3036" w:type="dxa"/>
            <w:vAlign w:val="center"/>
          </w:tcPr>
          <w:p w:rsidR="00987CF2" w:rsidRPr="001C7A65" w:rsidRDefault="00E0799A" w:rsidP="009E6F47">
            <w:pPr>
              <w:spacing w:before="20" w:after="20"/>
              <w:rPr>
                <w:rFonts w:cs="Arial"/>
                <w:b/>
                <w:color w:val="000000" w:themeColor="text1"/>
                <w:sz w:val="20"/>
              </w:rPr>
            </w:pPr>
            <w:r w:rsidRPr="001C7A65">
              <w:rPr>
                <w:rFonts w:cs="Arial"/>
                <w:b/>
                <w:color w:val="000000" w:themeColor="text1"/>
                <w:sz w:val="28"/>
                <w:szCs w:val="28"/>
              </w:rPr>
              <w:t>4</w:t>
            </w:r>
            <w:r w:rsidR="009F04F7" w:rsidRPr="001C7A65">
              <w:rPr>
                <w:rFonts w:cs="Arial"/>
                <w:b/>
                <w:color w:val="000000" w:themeColor="text1"/>
                <w:sz w:val="28"/>
                <w:szCs w:val="28"/>
              </w:rPr>
              <w:t>.)</w:t>
            </w:r>
            <w:r w:rsidR="00987CF2" w:rsidRPr="001C7A65">
              <w:rPr>
                <w:rFonts w:cs="Arial"/>
                <w:b/>
                <w:color w:val="000000" w:themeColor="text1"/>
                <w:sz w:val="28"/>
                <w:szCs w:val="28"/>
              </w:rPr>
              <w:t xml:space="preserve">  </w:t>
            </w:r>
            <w:r w:rsidR="00987CF2" w:rsidRPr="001C7A65">
              <w:rPr>
                <w:rFonts w:cs="Arial"/>
                <w:b/>
                <w:color w:val="000000" w:themeColor="text1"/>
                <w:szCs w:val="24"/>
              </w:rPr>
              <w:t xml:space="preserve"> </w:t>
            </w:r>
            <w:r w:rsidR="00987CF2" w:rsidRPr="001C7A65">
              <w:rPr>
                <w:rFonts w:cs="Arial"/>
                <w:b/>
                <w:color w:val="000000" w:themeColor="text1"/>
                <w:sz w:val="28"/>
                <w:szCs w:val="28"/>
              </w:rPr>
              <w:t>Legend</w:t>
            </w: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tc>
        <w:tc>
          <w:tcPr>
            <w:tcW w:w="3408" w:type="dxa"/>
            <w:vAlign w:val="center"/>
          </w:tcPr>
          <w:p w:rsidR="00987CF2" w:rsidRPr="001C7A65" w:rsidRDefault="00987CF2" w:rsidP="009E6F47">
            <w:pPr>
              <w:spacing w:before="20" w:after="20"/>
              <w:jc w:val="center"/>
              <w:rPr>
                <w:rFonts w:cs="Arial"/>
                <w:color w:val="000000" w:themeColor="text1"/>
                <w:sz w:val="20"/>
              </w:rPr>
            </w:pP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p>
          <w:p w:rsidR="00987CF2" w:rsidRPr="001C7A65" w:rsidRDefault="00987CF2" w:rsidP="009E6F47">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64148E76" wp14:editId="03AA2C7F">
                  <wp:extent cx="295275" cy="2857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9E6F47">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3279BFA2" wp14:editId="03B965E0">
                  <wp:extent cx="295275" cy="28575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9E6F47">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7A85E271" wp14:editId="7D4CFF5C">
                  <wp:extent cx="295275" cy="28575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9E6F47">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0DED656F" wp14:editId="67591449">
                  <wp:extent cx="295275" cy="28575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r w:rsidRPr="001C7A65">
              <w:rPr>
                <w:rFonts w:cs="Arial"/>
                <w:b/>
                <w:color w:val="000000" w:themeColor="text1"/>
                <w:sz w:val="20"/>
              </w:rPr>
              <w:t xml:space="preserve"> </w:t>
            </w:r>
            <w:r w:rsidRPr="001C7A65">
              <w:rPr>
                <w:rFonts w:cs="Arial"/>
                <w:color w:val="000000" w:themeColor="text1"/>
                <w:sz w:val="20"/>
              </w:rPr>
              <w:t xml:space="preserve">                                                    </w:t>
            </w:r>
          </w:p>
        </w:tc>
        <w:tc>
          <w:tcPr>
            <w:tcW w:w="6817" w:type="dxa"/>
            <w:vAlign w:val="center"/>
          </w:tcPr>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On target</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Areas to watch</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Areas to address</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On Hold</w:t>
            </w:r>
          </w:p>
        </w:tc>
      </w:tr>
    </w:tbl>
    <w:p w:rsidR="00E0799A" w:rsidRPr="001C7A65" w:rsidRDefault="00E0799A">
      <w:pPr>
        <w:rPr>
          <w:color w:val="000000" w:themeColor="text1"/>
        </w:rPr>
      </w:pPr>
    </w:p>
    <w:p w:rsidR="005B4516" w:rsidRPr="001C7A65" w:rsidRDefault="005B4516">
      <w:pPr>
        <w:rPr>
          <w:color w:val="000000" w:themeColor="text1"/>
        </w:rPr>
      </w:pPr>
    </w:p>
    <w:p w:rsidR="005B4516" w:rsidRPr="001C7A65" w:rsidRDefault="005B4516">
      <w:pPr>
        <w:rPr>
          <w:color w:val="000000" w:themeColor="text1"/>
        </w:rPr>
      </w:pPr>
    </w:p>
    <w:sectPr w:rsidR="005B4516" w:rsidRPr="001C7A65" w:rsidSect="00701E5B">
      <w:footerReference w:type="default" r:id="rId12"/>
      <w:headerReference w:type="first" r:id="rId13"/>
      <w:pgSz w:w="11907" w:h="16840" w:code="9"/>
      <w:pgMar w:top="1588" w:right="851" w:bottom="1440" w:left="153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AE" w:rsidRDefault="00B152AE" w:rsidP="00D04A85">
      <w:r>
        <w:separator/>
      </w:r>
    </w:p>
  </w:endnote>
  <w:endnote w:type="continuationSeparator" w:id="0">
    <w:p w:rsidR="00B152AE" w:rsidRDefault="00B152AE" w:rsidP="00D0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798"/>
      <w:docPartObj>
        <w:docPartGallery w:val="Page Numbers (Bottom of Page)"/>
        <w:docPartUnique/>
      </w:docPartObj>
    </w:sdtPr>
    <w:sdtEndPr/>
    <w:sdtContent>
      <w:sdt>
        <w:sdtPr>
          <w:id w:val="565050523"/>
          <w:docPartObj>
            <w:docPartGallery w:val="Page Numbers (Top of Page)"/>
            <w:docPartUnique/>
          </w:docPartObj>
        </w:sdtPr>
        <w:sdtEndPr/>
        <w:sdtContent>
          <w:p w:rsidR="00680CC4" w:rsidRDefault="000A006D">
            <w:pPr>
              <w:pStyle w:val="Footer"/>
              <w:jc w:val="right"/>
            </w:pPr>
            <w:r>
              <w:t xml:space="preserve">Page </w:t>
            </w:r>
            <w:r w:rsidR="002065B8">
              <w:rPr>
                <w:b/>
                <w:sz w:val="24"/>
                <w:szCs w:val="24"/>
              </w:rPr>
              <w:fldChar w:fldCharType="begin"/>
            </w:r>
            <w:r>
              <w:rPr>
                <w:b/>
              </w:rPr>
              <w:instrText xml:space="preserve"> PAGE </w:instrText>
            </w:r>
            <w:r w:rsidR="002065B8">
              <w:rPr>
                <w:b/>
                <w:sz w:val="24"/>
                <w:szCs w:val="24"/>
              </w:rPr>
              <w:fldChar w:fldCharType="separate"/>
            </w:r>
            <w:r w:rsidR="00412B6E">
              <w:rPr>
                <w:b/>
                <w:noProof/>
              </w:rPr>
              <w:t>2</w:t>
            </w:r>
            <w:r w:rsidR="002065B8">
              <w:rPr>
                <w:b/>
                <w:sz w:val="24"/>
                <w:szCs w:val="24"/>
              </w:rPr>
              <w:fldChar w:fldCharType="end"/>
            </w:r>
            <w:r>
              <w:t xml:space="preserve"> of </w:t>
            </w:r>
            <w:r w:rsidR="002065B8">
              <w:rPr>
                <w:b/>
                <w:sz w:val="24"/>
                <w:szCs w:val="24"/>
              </w:rPr>
              <w:fldChar w:fldCharType="begin"/>
            </w:r>
            <w:r>
              <w:rPr>
                <w:b/>
              </w:rPr>
              <w:instrText xml:space="preserve"> NUMPAGES  </w:instrText>
            </w:r>
            <w:r w:rsidR="002065B8">
              <w:rPr>
                <w:b/>
                <w:sz w:val="24"/>
                <w:szCs w:val="24"/>
              </w:rPr>
              <w:fldChar w:fldCharType="separate"/>
            </w:r>
            <w:r w:rsidR="00412B6E">
              <w:rPr>
                <w:b/>
                <w:noProof/>
              </w:rPr>
              <w:t>4</w:t>
            </w:r>
            <w:r w:rsidR="002065B8">
              <w:rPr>
                <w:b/>
                <w:sz w:val="24"/>
                <w:szCs w:val="24"/>
              </w:rPr>
              <w:fldChar w:fldCharType="end"/>
            </w:r>
          </w:p>
        </w:sdtContent>
      </w:sdt>
    </w:sdtContent>
  </w:sdt>
  <w:p w:rsidR="00680CC4" w:rsidRPr="00701E5B" w:rsidRDefault="00B152AE" w:rsidP="0070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AE" w:rsidRDefault="00B152AE" w:rsidP="00D04A85">
      <w:r>
        <w:separator/>
      </w:r>
    </w:p>
  </w:footnote>
  <w:footnote w:type="continuationSeparator" w:id="0">
    <w:p w:rsidR="00B152AE" w:rsidRDefault="00B152AE" w:rsidP="00D0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C4" w:rsidRPr="00B97141" w:rsidRDefault="000A006D">
    <w:pPr>
      <w:pStyle w:val="Header"/>
      <w:rPr>
        <w:lang w:val="en-US"/>
      </w:rPr>
    </w:pPr>
    <w:r>
      <w:rPr>
        <w:lang w:val="en-US"/>
      </w:rPr>
      <w:t>Insert Project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899"/>
    <w:multiLevelType w:val="hybridMultilevel"/>
    <w:tmpl w:val="BCE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0C4"/>
    <w:multiLevelType w:val="hybridMultilevel"/>
    <w:tmpl w:val="3FE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7D2C"/>
    <w:multiLevelType w:val="hybridMultilevel"/>
    <w:tmpl w:val="744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43C18"/>
    <w:multiLevelType w:val="hybridMultilevel"/>
    <w:tmpl w:val="3F3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B52C7"/>
    <w:multiLevelType w:val="hybridMultilevel"/>
    <w:tmpl w:val="F51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E65"/>
    <w:multiLevelType w:val="hybridMultilevel"/>
    <w:tmpl w:val="6D1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B754F"/>
    <w:multiLevelType w:val="hybridMultilevel"/>
    <w:tmpl w:val="47E0E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28311F"/>
    <w:multiLevelType w:val="hybridMultilevel"/>
    <w:tmpl w:val="77F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F18DF"/>
    <w:multiLevelType w:val="hybridMultilevel"/>
    <w:tmpl w:val="8BB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F0CED"/>
    <w:multiLevelType w:val="hybridMultilevel"/>
    <w:tmpl w:val="0E288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494239"/>
    <w:multiLevelType w:val="hybridMultilevel"/>
    <w:tmpl w:val="026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71E54"/>
    <w:multiLevelType w:val="hybridMultilevel"/>
    <w:tmpl w:val="E938C0E2"/>
    <w:lvl w:ilvl="0" w:tplc="0C268FA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F4A84"/>
    <w:multiLevelType w:val="hybridMultilevel"/>
    <w:tmpl w:val="F10E2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12366C1"/>
    <w:multiLevelType w:val="hybridMultilevel"/>
    <w:tmpl w:val="8F6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74545"/>
    <w:multiLevelType w:val="hybridMultilevel"/>
    <w:tmpl w:val="3C18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896E50"/>
    <w:multiLevelType w:val="hybridMultilevel"/>
    <w:tmpl w:val="5D006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35787C"/>
    <w:multiLevelType w:val="hybridMultilevel"/>
    <w:tmpl w:val="08DAE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A227748"/>
    <w:multiLevelType w:val="hybridMultilevel"/>
    <w:tmpl w:val="00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65AC1"/>
    <w:multiLevelType w:val="hybridMultilevel"/>
    <w:tmpl w:val="C6A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D4DE2"/>
    <w:multiLevelType w:val="hybridMultilevel"/>
    <w:tmpl w:val="158A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75174E"/>
    <w:multiLevelType w:val="hybridMultilevel"/>
    <w:tmpl w:val="F7A0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56F0F"/>
    <w:multiLevelType w:val="hybridMultilevel"/>
    <w:tmpl w:val="A5CCF90C"/>
    <w:lvl w:ilvl="0" w:tplc="67E2B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72664"/>
    <w:multiLevelType w:val="hybridMultilevel"/>
    <w:tmpl w:val="BCF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45720"/>
    <w:multiLevelType w:val="hybridMultilevel"/>
    <w:tmpl w:val="E63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B5E1C"/>
    <w:multiLevelType w:val="hybridMultilevel"/>
    <w:tmpl w:val="8BE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8"/>
  </w:num>
  <w:num w:numId="5">
    <w:abstractNumId w:val="2"/>
  </w:num>
  <w:num w:numId="6">
    <w:abstractNumId w:val="18"/>
  </w:num>
  <w:num w:numId="7">
    <w:abstractNumId w:val="19"/>
  </w:num>
  <w:num w:numId="8">
    <w:abstractNumId w:val="14"/>
  </w:num>
  <w:num w:numId="9">
    <w:abstractNumId w:val="7"/>
  </w:num>
  <w:num w:numId="10">
    <w:abstractNumId w:val="10"/>
  </w:num>
  <w:num w:numId="11">
    <w:abstractNumId w:val="6"/>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5"/>
  </w:num>
  <w:num w:numId="17">
    <w:abstractNumId w:val="1"/>
  </w:num>
  <w:num w:numId="18">
    <w:abstractNumId w:val="13"/>
  </w:num>
  <w:num w:numId="19">
    <w:abstractNumId w:val="8"/>
  </w:num>
  <w:num w:numId="20">
    <w:abstractNumId w:val="12"/>
  </w:num>
  <w:num w:numId="21">
    <w:abstractNumId w:val="16"/>
  </w:num>
  <w:num w:numId="22">
    <w:abstractNumId w:val="9"/>
  </w:num>
  <w:num w:numId="23">
    <w:abstractNumId w:val="21"/>
  </w:num>
  <w:num w:numId="24">
    <w:abstractNumId w:val="24"/>
  </w:num>
  <w:num w:numId="25">
    <w:abstractNumId w:val="3"/>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F2"/>
    <w:rsid w:val="00030491"/>
    <w:rsid w:val="00040892"/>
    <w:rsid w:val="00045559"/>
    <w:rsid w:val="00077B63"/>
    <w:rsid w:val="000A006D"/>
    <w:rsid w:val="000A0989"/>
    <w:rsid w:val="000B52F8"/>
    <w:rsid w:val="000C418A"/>
    <w:rsid w:val="000E265F"/>
    <w:rsid w:val="00153411"/>
    <w:rsid w:val="00162673"/>
    <w:rsid w:val="001A2893"/>
    <w:rsid w:val="001A36C3"/>
    <w:rsid w:val="001C7A65"/>
    <w:rsid w:val="002065B8"/>
    <w:rsid w:val="00225AB0"/>
    <w:rsid w:val="0023200E"/>
    <w:rsid w:val="00254777"/>
    <w:rsid w:val="00280D5D"/>
    <w:rsid w:val="002922E4"/>
    <w:rsid w:val="00315148"/>
    <w:rsid w:val="0031715C"/>
    <w:rsid w:val="0034520F"/>
    <w:rsid w:val="00354B9C"/>
    <w:rsid w:val="00384E94"/>
    <w:rsid w:val="003F0CE4"/>
    <w:rsid w:val="003F4A84"/>
    <w:rsid w:val="00412B6E"/>
    <w:rsid w:val="004179EB"/>
    <w:rsid w:val="0047461C"/>
    <w:rsid w:val="00490E32"/>
    <w:rsid w:val="004A3A7B"/>
    <w:rsid w:val="00537D52"/>
    <w:rsid w:val="005B4516"/>
    <w:rsid w:val="005D3312"/>
    <w:rsid w:val="005E025D"/>
    <w:rsid w:val="006033B6"/>
    <w:rsid w:val="00610E24"/>
    <w:rsid w:val="0062462D"/>
    <w:rsid w:val="00635D57"/>
    <w:rsid w:val="006534C2"/>
    <w:rsid w:val="00662672"/>
    <w:rsid w:val="00694F10"/>
    <w:rsid w:val="006A2493"/>
    <w:rsid w:val="006B0533"/>
    <w:rsid w:val="006C1CFB"/>
    <w:rsid w:val="006D1A4D"/>
    <w:rsid w:val="007335B6"/>
    <w:rsid w:val="007619DA"/>
    <w:rsid w:val="007659AC"/>
    <w:rsid w:val="00794DD2"/>
    <w:rsid w:val="007952FD"/>
    <w:rsid w:val="00796A9D"/>
    <w:rsid w:val="007A4379"/>
    <w:rsid w:val="007A6819"/>
    <w:rsid w:val="007C492C"/>
    <w:rsid w:val="007D2C21"/>
    <w:rsid w:val="007D3EFD"/>
    <w:rsid w:val="007D7656"/>
    <w:rsid w:val="007E02D5"/>
    <w:rsid w:val="007E2ECC"/>
    <w:rsid w:val="007E3124"/>
    <w:rsid w:val="007F7E41"/>
    <w:rsid w:val="0081449F"/>
    <w:rsid w:val="008177C2"/>
    <w:rsid w:val="0085493E"/>
    <w:rsid w:val="00865B44"/>
    <w:rsid w:val="00875F30"/>
    <w:rsid w:val="00886E5B"/>
    <w:rsid w:val="00914F9F"/>
    <w:rsid w:val="00987CF2"/>
    <w:rsid w:val="009A3BFD"/>
    <w:rsid w:val="009C336F"/>
    <w:rsid w:val="009D5EAE"/>
    <w:rsid w:val="009D6D4E"/>
    <w:rsid w:val="009F04F7"/>
    <w:rsid w:val="00A176ED"/>
    <w:rsid w:val="00A23808"/>
    <w:rsid w:val="00A31B2A"/>
    <w:rsid w:val="00A31F01"/>
    <w:rsid w:val="00A7536B"/>
    <w:rsid w:val="00A91305"/>
    <w:rsid w:val="00A97313"/>
    <w:rsid w:val="00AB3CC9"/>
    <w:rsid w:val="00AD22A8"/>
    <w:rsid w:val="00B038D5"/>
    <w:rsid w:val="00B152AE"/>
    <w:rsid w:val="00B306B6"/>
    <w:rsid w:val="00BA5D2E"/>
    <w:rsid w:val="00BE575D"/>
    <w:rsid w:val="00CA1E02"/>
    <w:rsid w:val="00CC5141"/>
    <w:rsid w:val="00D04A85"/>
    <w:rsid w:val="00D06FEF"/>
    <w:rsid w:val="00D77DCB"/>
    <w:rsid w:val="00D8166F"/>
    <w:rsid w:val="00D92AB7"/>
    <w:rsid w:val="00D972AE"/>
    <w:rsid w:val="00DA18ED"/>
    <w:rsid w:val="00DB3D83"/>
    <w:rsid w:val="00DE166F"/>
    <w:rsid w:val="00E00394"/>
    <w:rsid w:val="00E0728C"/>
    <w:rsid w:val="00E0799A"/>
    <w:rsid w:val="00E80D58"/>
    <w:rsid w:val="00E8344C"/>
    <w:rsid w:val="00E91357"/>
    <w:rsid w:val="00EF1F2A"/>
    <w:rsid w:val="00F10F63"/>
    <w:rsid w:val="00F42D38"/>
    <w:rsid w:val="00F62F07"/>
    <w:rsid w:val="00F700AA"/>
    <w:rsid w:val="00F713CB"/>
    <w:rsid w:val="00F82139"/>
    <w:rsid w:val="00FB03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D634-1C8F-42BB-973A-E730C95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952">
      <w:bodyDiv w:val="1"/>
      <w:marLeft w:val="0"/>
      <w:marRight w:val="0"/>
      <w:marTop w:val="0"/>
      <w:marBottom w:val="0"/>
      <w:divBdr>
        <w:top w:val="none" w:sz="0" w:space="0" w:color="auto"/>
        <w:left w:val="none" w:sz="0" w:space="0" w:color="auto"/>
        <w:bottom w:val="none" w:sz="0" w:space="0" w:color="auto"/>
        <w:right w:val="none" w:sz="0" w:space="0" w:color="auto"/>
      </w:divBdr>
    </w:div>
    <w:div w:id="341590941">
      <w:bodyDiv w:val="1"/>
      <w:marLeft w:val="0"/>
      <w:marRight w:val="0"/>
      <w:marTop w:val="0"/>
      <w:marBottom w:val="0"/>
      <w:divBdr>
        <w:top w:val="none" w:sz="0" w:space="0" w:color="auto"/>
        <w:left w:val="none" w:sz="0" w:space="0" w:color="auto"/>
        <w:bottom w:val="none" w:sz="0" w:space="0" w:color="auto"/>
        <w:right w:val="none" w:sz="0" w:space="0" w:color="auto"/>
      </w:divBdr>
    </w:div>
    <w:div w:id="443161413">
      <w:bodyDiv w:val="1"/>
      <w:marLeft w:val="0"/>
      <w:marRight w:val="0"/>
      <w:marTop w:val="0"/>
      <w:marBottom w:val="0"/>
      <w:divBdr>
        <w:top w:val="none" w:sz="0" w:space="0" w:color="auto"/>
        <w:left w:val="none" w:sz="0" w:space="0" w:color="auto"/>
        <w:bottom w:val="none" w:sz="0" w:space="0" w:color="auto"/>
        <w:right w:val="none" w:sz="0" w:space="0" w:color="auto"/>
      </w:divBdr>
    </w:div>
    <w:div w:id="447968415">
      <w:bodyDiv w:val="1"/>
      <w:marLeft w:val="0"/>
      <w:marRight w:val="0"/>
      <w:marTop w:val="0"/>
      <w:marBottom w:val="0"/>
      <w:divBdr>
        <w:top w:val="none" w:sz="0" w:space="0" w:color="auto"/>
        <w:left w:val="none" w:sz="0" w:space="0" w:color="auto"/>
        <w:bottom w:val="none" w:sz="0" w:space="0" w:color="auto"/>
        <w:right w:val="none" w:sz="0" w:space="0" w:color="auto"/>
      </w:divBdr>
    </w:div>
    <w:div w:id="536242318">
      <w:bodyDiv w:val="1"/>
      <w:marLeft w:val="0"/>
      <w:marRight w:val="0"/>
      <w:marTop w:val="0"/>
      <w:marBottom w:val="0"/>
      <w:divBdr>
        <w:top w:val="none" w:sz="0" w:space="0" w:color="auto"/>
        <w:left w:val="none" w:sz="0" w:space="0" w:color="auto"/>
        <w:bottom w:val="none" w:sz="0" w:space="0" w:color="auto"/>
        <w:right w:val="none" w:sz="0" w:space="0" w:color="auto"/>
      </w:divBdr>
    </w:div>
    <w:div w:id="576012151">
      <w:bodyDiv w:val="1"/>
      <w:marLeft w:val="0"/>
      <w:marRight w:val="0"/>
      <w:marTop w:val="0"/>
      <w:marBottom w:val="0"/>
      <w:divBdr>
        <w:top w:val="none" w:sz="0" w:space="0" w:color="auto"/>
        <w:left w:val="none" w:sz="0" w:space="0" w:color="auto"/>
        <w:bottom w:val="none" w:sz="0" w:space="0" w:color="auto"/>
        <w:right w:val="none" w:sz="0" w:space="0" w:color="auto"/>
      </w:divBdr>
    </w:div>
    <w:div w:id="718433180">
      <w:bodyDiv w:val="1"/>
      <w:marLeft w:val="0"/>
      <w:marRight w:val="0"/>
      <w:marTop w:val="0"/>
      <w:marBottom w:val="0"/>
      <w:divBdr>
        <w:top w:val="none" w:sz="0" w:space="0" w:color="auto"/>
        <w:left w:val="none" w:sz="0" w:space="0" w:color="auto"/>
        <w:bottom w:val="none" w:sz="0" w:space="0" w:color="auto"/>
        <w:right w:val="none" w:sz="0" w:space="0" w:color="auto"/>
      </w:divBdr>
    </w:div>
    <w:div w:id="755975662">
      <w:bodyDiv w:val="1"/>
      <w:marLeft w:val="0"/>
      <w:marRight w:val="0"/>
      <w:marTop w:val="0"/>
      <w:marBottom w:val="0"/>
      <w:divBdr>
        <w:top w:val="none" w:sz="0" w:space="0" w:color="auto"/>
        <w:left w:val="none" w:sz="0" w:space="0" w:color="auto"/>
        <w:bottom w:val="none" w:sz="0" w:space="0" w:color="auto"/>
        <w:right w:val="none" w:sz="0" w:space="0" w:color="auto"/>
      </w:divBdr>
    </w:div>
    <w:div w:id="918178310">
      <w:bodyDiv w:val="1"/>
      <w:marLeft w:val="0"/>
      <w:marRight w:val="0"/>
      <w:marTop w:val="0"/>
      <w:marBottom w:val="0"/>
      <w:divBdr>
        <w:top w:val="none" w:sz="0" w:space="0" w:color="auto"/>
        <w:left w:val="none" w:sz="0" w:space="0" w:color="auto"/>
        <w:bottom w:val="none" w:sz="0" w:space="0" w:color="auto"/>
        <w:right w:val="none" w:sz="0" w:space="0" w:color="auto"/>
      </w:divBdr>
    </w:div>
    <w:div w:id="1038355374">
      <w:bodyDiv w:val="1"/>
      <w:marLeft w:val="0"/>
      <w:marRight w:val="0"/>
      <w:marTop w:val="0"/>
      <w:marBottom w:val="0"/>
      <w:divBdr>
        <w:top w:val="none" w:sz="0" w:space="0" w:color="auto"/>
        <w:left w:val="none" w:sz="0" w:space="0" w:color="auto"/>
        <w:bottom w:val="none" w:sz="0" w:space="0" w:color="auto"/>
        <w:right w:val="none" w:sz="0" w:space="0" w:color="auto"/>
      </w:divBdr>
    </w:div>
    <w:div w:id="1212381316">
      <w:bodyDiv w:val="1"/>
      <w:marLeft w:val="0"/>
      <w:marRight w:val="0"/>
      <w:marTop w:val="0"/>
      <w:marBottom w:val="0"/>
      <w:divBdr>
        <w:top w:val="none" w:sz="0" w:space="0" w:color="auto"/>
        <w:left w:val="none" w:sz="0" w:space="0" w:color="auto"/>
        <w:bottom w:val="none" w:sz="0" w:space="0" w:color="auto"/>
        <w:right w:val="none" w:sz="0" w:space="0" w:color="auto"/>
      </w:divBdr>
    </w:div>
    <w:div w:id="1421561089">
      <w:bodyDiv w:val="1"/>
      <w:marLeft w:val="0"/>
      <w:marRight w:val="0"/>
      <w:marTop w:val="0"/>
      <w:marBottom w:val="0"/>
      <w:divBdr>
        <w:top w:val="none" w:sz="0" w:space="0" w:color="auto"/>
        <w:left w:val="none" w:sz="0" w:space="0" w:color="auto"/>
        <w:bottom w:val="none" w:sz="0" w:space="0" w:color="auto"/>
        <w:right w:val="none" w:sz="0" w:space="0" w:color="auto"/>
      </w:divBdr>
    </w:div>
    <w:div w:id="1499887850">
      <w:bodyDiv w:val="1"/>
      <w:marLeft w:val="0"/>
      <w:marRight w:val="0"/>
      <w:marTop w:val="0"/>
      <w:marBottom w:val="0"/>
      <w:divBdr>
        <w:top w:val="none" w:sz="0" w:space="0" w:color="auto"/>
        <w:left w:val="none" w:sz="0" w:space="0" w:color="auto"/>
        <w:bottom w:val="none" w:sz="0" w:space="0" w:color="auto"/>
        <w:right w:val="none" w:sz="0" w:space="0" w:color="auto"/>
      </w:divBdr>
    </w:div>
    <w:div w:id="1805854859">
      <w:bodyDiv w:val="1"/>
      <w:marLeft w:val="0"/>
      <w:marRight w:val="0"/>
      <w:marTop w:val="0"/>
      <w:marBottom w:val="0"/>
      <w:divBdr>
        <w:top w:val="none" w:sz="0" w:space="0" w:color="auto"/>
        <w:left w:val="none" w:sz="0" w:space="0" w:color="auto"/>
        <w:bottom w:val="none" w:sz="0" w:space="0" w:color="auto"/>
        <w:right w:val="none" w:sz="0" w:space="0" w:color="auto"/>
      </w:divBdr>
    </w:div>
    <w:div w:id="1859344812">
      <w:bodyDiv w:val="1"/>
      <w:marLeft w:val="0"/>
      <w:marRight w:val="0"/>
      <w:marTop w:val="0"/>
      <w:marBottom w:val="0"/>
      <w:divBdr>
        <w:top w:val="none" w:sz="0" w:space="0" w:color="auto"/>
        <w:left w:val="none" w:sz="0" w:space="0" w:color="auto"/>
        <w:bottom w:val="none" w:sz="0" w:space="0" w:color="auto"/>
        <w:right w:val="none" w:sz="0" w:space="0" w:color="auto"/>
      </w:divBdr>
    </w:div>
    <w:div w:id="1911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1502</Value>
      <Value>1107</Value>
      <Value>1</Value>
    </TaxCatchAll>
    <c4e2ab2cc9354bbf9064eeb465a566ea xmlns="1ed4137b-41b2-488b-8250-6d369ec27664">
      <Terms xmlns="http://schemas.microsoft.com/office/infopath/2007/PartnerControls"/>
    </c4e2ab2cc9354bbf9064eeb465a566ea>
    <UndpProjectNo xmlns="1ed4137b-41b2-488b-8250-6d369ec27664">00056593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ATLASPDC-4-29426</_dlc_DocId>
    <_dlc_DocIdUrl xmlns="f1161f5b-24a3-4c2d-bc81-44cb9325e8ee">
      <Url>https://info.undp.org/docs/pdc/_layouts/DocIdRedir.aspx?ID=ATLASPDC-4-29426</Url>
      <Description>ATLASPDC-4-29426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8467A2-5CBC-444B-B91A-C4F557FD8139}"/>
</file>

<file path=customXml/itemProps2.xml><?xml version="1.0" encoding="utf-8"?>
<ds:datastoreItem xmlns:ds="http://schemas.openxmlformats.org/officeDocument/2006/customXml" ds:itemID="{807619A7-BD67-4644-A161-3CAC63E8A611}"/>
</file>

<file path=customXml/itemProps3.xml><?xml version="1.0" encoding="utf-8"?>
<ds:datastoreItem xmlns:ds="http://schemas.openxmlformats.org/officeDocument/2006/customXml" ds:itemID="{5F449371-5DDF-42DA-8EFA-C8205910E5B7}"/>
</file>

<file path=customXml/itemProps4.xml><?xml version="1.0" encoding="utf-8"?>
<ds:datastoreItem xmlns:ds="http://schemas.openxmlformats.org/officeDocument/2006/customXml" ds:itemID="{B9C07FF6-F5D8-4226-B62C-391F2D9D812F}"/>
</file>

<file path=customXml/itemProps5.xml><?xml version="1.0" encoding="utf-8"?>
<ds:datastoreItem xmlns:ds="http://schemas.openxmlformats.org/officeDocument/2006/customXml" ds:itemID="{B8DA3593-3F5A-45B0-B07F-C60C2F639747}"/>
</file>

<file path=customXml/itemProps6.xml><?xml version="1.0" encoding="utf-8"?>
<ds:datastoreItem xmlns:ds="http://schemas.openxmlformats.org/officeDocument/2006/customXml" ds:itemID="{04A6DB64-E315-4750-B609-53477BE51E97}"/>
</file>

<file path=docProps/app.xml><?xml version="1.0" encoding="utf-8"?>
<Properties xmlns="http://schemas.openxmlformats.org/officeDocument/2006/extended-properties" xmlns:vt="http://schemas.openxmlformats.org/officeDocument/2006/docPropsVTypes">
  <Template>Normal</Template>
  <TotalTime>5</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thabang.tlalajoe</dc:creator>
  <cp:lastModifiedBy>Thabang Tlalajoe</cp:lastModifiedBy>
  <cp:revision>3</cp:revision>
  <dcterms:created xsi:type="dcterms:W3CDTF">2014-04-04T08:02:00Z</dcterms:created>
  <dcterms:modified xsi:type="dcterms:W3CDTF">2014-07-28T13:26:00Z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edbb457c-3a06-47df-a443-4252bc7ab9a4</vt:lpwstr>
  </property>
  <property fmtid="{D5CDD505-2E9C-101B-9397-08002B2CF9AE}" pid="18" name="URL">
    <vt:lpwstr/>
  </property>
  <property fmtid="{D5CDD505-2E9C-101B-9397-08002B2CF9AE}" pid="19" name="DocumentSetDescription">
    <vt:lpwstr/>
  </property>
</Properties>
</file>